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E" w:rsidRDefault="005676CE" w:rsidP="005676CE">
      <w:pPr>
        <w:pStyle w:val="3"/>
        <w:rPr>
          <w:rFonts w:ascii="宋体" w:hAnsi="宋体" w:cs="宋体"/>
          <w:bCs/>
          <w:sz w:val="24"/>
          <w:szCs w:val="24"/>
          <w:lang w:eastAsia="zh-CN"/>
        </w:rPr>
      </w:pPr>
      <w:bookmarkStart w:id="0" w:name="_Toc476354695"/>
      <w:r>
        <w:rPr>
          <w:rFonts w:ascii="宋体" w:hAnsi="宋体" w:cs="宋体" w:hint="eastAsia"/>
          <w:bCs/>
          <w:sz w:val="24"/>
          <w:szCs w:val="24"/>
          <w:lang w:eastAsia="zh-CN"/>
        </w:rPr>
        <w:t>8.5.1</w:t>
      </w:r>
      <w:r>
        <w:rPr>
          <w:rFonts w:ascii="宋体" w:hAnsi="宋体" w:cs="宋体" w:hint="eastAsia"/>
          <w:sz w:val="24"/>
          <w:szCs w:val="24"/>
          <w:lang w:eastAsia="zh-CN"/>
        </w:rPr>
        <w:t xml:space="preserve"> 产品和</w:t>
      </w:r>
      <w:r>
        <w:rPr>
          <w:rFonts w:ascii="宋体" w:hAnsi="宋体" w:cs="宋体" w:hint="eastAsia"/>
          <w:bCs/>
          <w:sz w:val="24"/>
          <w:szCs w:val="24"/>
          <w:lang w:eastAsia="zh-CN"/>
        </w:rPr>
        <w:t>服务提供的控制</w:t>
      </w:r>
      <w:bookmarkEnd w:id="0"/>
    </w:p>
    <w:p w:rsidR="005676CE" w:rsidRDefault="005676CE" w:rsidP="005676CE">
      <w:pPr>
        <w:spacing w:line="480" w:lineRule="exact"/>
        <w:ind w:firstLine="720"/>
        <w:rPr>
          <w:b/>
          <w:sz w:val="24"/>
        </w:rPr>
      </w:pPr>
      <w:r>
        <w:rPr>
          <w:color w:val="000000"/>
          <w:sz w:val="24"/>
        </w:rPr>
        <w:t>本公司在下列受控条件进行销售和服务提供，确保产品服务符合要求。</w:t>
      </w:r>
    </w:p>
    <w:p w:rsidR="005676CE" w:rsidRDefault="005676CE" w:rsidP="005676CE">
      <w:pPr>
        <w:spacing w:line="480" w:lineRule="exact"/>
        <w:rPr>
          <w:color w:val="000000"/>
          <w:sz w:val="24"/>
        </w:rPr>
      </w:pPr>
      <w:r>
        <w:rPr>
          <w:color w:val="000000"/>
          <w:sz w:val="24"/>
        </w:rPr>
        <w:t>8.5.1.1</w:t>
      </w:r>
      <w:r>
        <w:rPr>
          <w:color w:val="000000"/>
          <w:sz w:val="24"/>
        </w:rPr>
        <w:t>企业应策划并在受控条件下进行服务提供</w:t>
      </w:r>
    </w:p>
    <w:p w:rsidR="005676CE" w:rsidRDefault="005676CE" w:rsidP="005676CE">
      <w:pPr>
        <w:spacing w:line="480" w:lineRule="exact"/>
        <w:ind w:firstLine="360"/>
        <w:rPr>
          <w:color w:val="000000"/>
          <w:sz w:val="24"/>
        </w:rPr>
      </w:pPr>
      <w:r>
        <w:rPr>
          <w:color w:val="000000"/>
          <w:sz w:val="24"/>
        </w:rPr>
        <w:t xml:space="preserve"> a) </w:t>
      </w:r>
      <w:r>
        <w:rPr>
          <w:color w:val="000000"/>
          <w:sz w:val="24"/>
        </w:rPr>
        <w:t>获得规定服务特性的信息。从与顾客有关的过程中得到服务特性和相关要求的信息（如产品规格型号、品种等）；</w:t>
      </w:r>
    </w:p>
    <w:p w:rsidR="005676CE" w:rsidRDefault="005676CE" w:rsidP="005676CE">
      <w:pPr>
        <w:spacing w:line="480" w:lineRule="exact"/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b) </w:t>
      </w:r>
      <w:r>
        <w:rPr>
          <w:color w:val="000000"/>
          <w:sz w:val="24"/>
        </w:rPr>
        <w:t>必要时对服务过程规定作业文件；</w:t>
      </w:r>
    </w:p>
    <w:p w:rsidR="005676CE" w:rsidRDefault="005676CE" w:rsidP="005676CE">
      <w:pPr>
        <w:spacing w:line="480" w:lineRule="exact"/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c) </w:t>
      </w:r>
      <w:r>
        <w:rPr>
          <w:color w:val="000000"/>
          <w:sz w:val="24"/>
        </w:rPr>
        <w:t>使用适宜的设施；</w:t>
      </w:r>
    </w:p>
    <w:p w:rsidR="005676CE" w:rsidRDefault="005676CE" w:rsidP="005676CE">
      <w:pPr>
        <w:spacing w:line="480" w:lineRule="exact"/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d) </w:t>
      </w:r>
      <w:r>
        <w:rPr>
          <w:color w:val="000000"/>
          <w:sz w:val="24"/>
        </w:rPr>
        <w:t>对关键过程和特殊过程（如顾客的特殊要求）要求的服务确定服务标准、实施要求，对承接人员进行培训考核，对所用设备进行检定、监控。</w:t>
      </w:r>
    </w:p>
    <w:p w:rsidR="005676CE" w:rsidRDefault="005676CE" w:rsidP="005676CE">
      <w:pPr>
        <w:spacing w:line="480" w:lineRule="exact"/>
        <w:rPr>
          <w:color w:val="000000"/>
          <w:sz w:val="24"/>
        </w:rPr>
      </w:pPr>
      <w:r>
        <w:rPr>
          <w:color w:val="000000"/>
          <w:sz w:val="24"/>
        </w:rPr>
        <w:t>8.5.1.2</w:t>
      </w:r>
      <w:r>
        <w:rPr>
          <w:color w:val="000000"/>
          <w:sz w:val="24"/>
        </w:rPr>
        <w:t>根据需要配备所销售产品的监视和测量设备，并对产品（服务）的实现过程实施监视和测量。</w:t>
      </w:r>
    </w:p>
    <w:p w:rsidR="005676CE" w:rsidRDefault="005676CE" w:rsidP="005676CE">
      <w:pPr>
        <w:spacing w:line="480" w:lineRule="exact"/>
        <w:ind w:firstLine="560"/>
        <w:rPr>
          <w:color w:val="000000"/>
          <w:sz w:val="24"/>
        </w:rPr>
      </w:pPr>
      <w:r>
        <w:rPr>
          <w:color w:val="000000"/>
          <w:sz w:val="24"/>
        </w:rPr>
        <w:t>本公司确定</w:t>
      </w:r>
      <w:r>
        <w:rPr>
          <w:b/>
          <w:bCs/>
          <w:color w:val="000000"/>
          <w:sz w:val="24"/>
        </w:rPr>
        <w:t>销售</w:t>
      </w:r>
      <w:r>
        <w:rPr>
          <w:rFonts w:hint="eastAsia"/>
          <w:b/>
          <w:bCs/>
          <w:color w:val="000000"/>
          <w:sz w:val="24"/>
        </w:rPr>
        <w:t>服务</w:t>
      </w:r>
      <w:r>
        <w:rPr>
          <w:color w:val="000000"/>
          <w:sz w:val="24"/>
        </w:rPr>
        <w:t>为特殊过程，</w:t>
      </w:r>
      <w:r>
        <w:rPr>
          <w:rFonts w:hint="eastAsia"/>
          <w:color w:val="000000"/>
          <w:sz w:val="24"/>
        </w:rPr>
        <w:t>销售部</w:t>
      </w:r>
      <w:r>
        <w:rPr>
          <w:color w:val="000000"/>
          <w:sz w:val="24"/>
        </w:rPr>
        <w:t>对过程进行确认，以证实此过程具有实现所策划的结果的能力。</w:t>
      </w:r>
    </w:p>
    <w:p w:rsidR="005676CE" w:rsidRDefault="005676CE" w:rsidP="005676CE">
      <w:pPr>
        <w:spacing w:line="480" w:lineRule="exact"/>
        <w:ind w:firstLine="560"/>
        <w:rPr>
          <w:color w:val="000000"/>
          <w:sz w:val="24"/>
        </w:rPr>
      </w:pPr>
      <w:r>
        <w:rPr>
          <w:color w:val="000000"/>
          <w:sz w:val="24"/>
        </w:rPr>
        <w:t>有关责任部门对这些程序要作出安排，包括：</w:t>
      </w:r>
    </w:p>
    <w:p w:rsidR="005676CE" w:rsidRDefault="005676CE" w:rsidP="005676CE">
      <w:pPr>
        <w:numPr>
          <w:ilvl w:val="0"/>
          <w:numId w:val="1"/>
        </w:numPr>
        <w:tabs>
          <w:tab w:val="left" w:pos="645"/>
        </w:tabs>
        <w:adjustRightInd/>
        <w:snapToGrid/>
        <w:spacing w:after="0" w:line="480" w:lineRule="exact"/>
        <w:ind w:left="645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为过程的评审和批准所规定的准则；</w:t>
      </w:r>
      <w:r>
        <w:rPr>
          <w:color w:val="000000"/>
          <w:sz w:val="24"/>
        </w:rPr>
        <w:t xml:space="preserve"> </w:t>
      </w:r>
    </w:p>
    <w:p w:rsidR="005676CE" w:rsidRDefault="005676CE" w:rsidP="005676CE">
      <w:pPr>
        <w:numPr>
          <w:ilvl w:val="0"/>
          <w:numId w:val="1"/>
        </w:numPr>
        <w:tabs>
          <w:tab w:val="left" w:pos="645"/>
        </w:tabs>
        <w:adjustRightInd/>
        <w:snapToGrid/>
        <w:spacing w:after="0" w:line="480" w:lineRule="exact"/>
        <w:ind w:left="645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设备的认可或人员资格的鉴定；</w:t>
      </w:r>
      <w:r>
        <w:rPr>
          <w:color w:val="000000"/>
          <w:sz w:val="24"/>
        </w:rPr>
        <w:t xml:space="preserve"> </w:t>
      </w:r>
    </w:p>
    <w:p w:rsidR="005676CE" w:rsidRDefault="005676CE" w:rsidP="005676CE">
      <w:pPr>
        <w:numPr>
          <w:ilvl w:val="0"/>
          <w:numId w:val="1"/>
        </w:numPr>
        <w:tabs>
          <w:tab w:val="left" w:pos="645"/>
        </w:tabs>
        <w:adjustRightInd/>
        <w:snapToGrid/>
        <w:spacing w:after="0" w:line="480" w:lineRule="exact"/>
        <w:ind w:left="645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使用特定的方法和程序；</w:t>
      </w:r>
    </w:p>
    <w:p w:rsidR="005676CE" w:rsidRDefault="005676CE" w:rsidP="005676CE">
      <w:pPr>
        <w:numPr>
          <w:ilvl w:val="0"/>
          <w:numId w:val="1"/>
        </w:numPr>
        <w:tabs>
          <w:tab w:val="left" w:pos="645"/>
        </w:tabs>
        <w:adjustRightInd/>
        <w:snapToGrid/>
        <w:spacing w:after="0" w:line="480" w:lineRule="exact"/>
        <w:ind w:left="645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记录的要求；</w:t>
      </w:r>
    </w:p>
    <w:p w:rsidR="005676CE" w:rsidRDefault="005676CE" w:rsidP="005676CE">
      <w:pPr>
        <w:numPr>
          <w:ilvl w:val="0"/>
          <w:numId w:val="1"/>
        </w:numPr>
        <w:tabs>
          <w:tab w:val="left" w:pos="645"/>
        </w:tabs>
        <w:adjustRightInd/>
        <w:snapToGrid/>
        <w:spacing w:after="0" w:line="480" w:lineRule="exact"/>
        <w:ind w:left="645"/>
        <w:rPr>
          <w:rFonts w:ascii="宋体" w:hAnsi="宋体" w:cs="宋体"/>
          <w:szCs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再确认；</w:t>
      </w:r>
    </w:p>
    <w:p w:rsidR="005676CE" w:rsidRDefault="005676CE" w:rsidP="005676CE">
      <w:pPr>
        <w:pStyle w:val="3"/>
        <w:rPr>
          <w:rFonts w:ascii="宋体" w:hAnsi="宋体" w:cs="宋体"/>
          <w:bCs/>
          <w:sz w:val="24"/>
          <w:szCs w:val="24"/>
          <w:lang w:eastAsia="zh-CN"/>
        </w:rPr>
      </w:pPr>
      <w:bookmarkStart w:id="1" w:name="_Toc476354696"/>
      <w:r>
        <w:rPr>
          <w:rFonts w:ascii="宋体" w:hAnsi="宋体" w:cs="宋体" w:hint="eastAsia"/>
          <w:bCs/>
          <w:sz w:val="24"/>
          <w:szCs w:val="24"/>
          <w:lang w:eastAsia="zh-CN"/>
        </w:rPr>
        <w:t>8.5.2</w:t>
      </w:r>
      <w:r>
        <w:rPr>
          <w:rFonts w:ascii="宋体" w:hAnsi="宋体" w:cs="宋体" w:hint="eastAsia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bCs/>
          <w:sz w:val="24"/>
          <w:szCs w:val="24"/>
          <w:lang w:eastAsia="zh-CN"/>
        </w:rPr>
        <w:t>标识和可追溯性</w:t>
      </w:r>
      <w:bookmarkEnd w:id="1"/>
    </w:p>
    <w:p w:rsidR="005676CE" w:rsidRDefault="005676CE" w:rsidP="005676CE">
      <w:pPr>
        <w:spacing w:line="440" w:lineRule="exact"/>
        <w:ind w:firstLine="480"/>
        <w:rPr>
          <w:color w:val="000000"/>
          <w:sz w:val="24"/>
        </w:rPr>
      </w:pPr>
      <w:bookmarkStart w:id="2" w:name="_Toc476354697"/>
      <w:r>
        <w:rPr>
          <w:color w:val="000000"/>
          <w:sz w:val="24"/>
        </w:rPr>
        <w:t>防止在产品实现和服务提供过程中发生混淆和误用，以及实现必要的追溯，对产品和服务的标识内容及可追溯性措施做出如下规定。</w:t>
      </w:r>
    </w:p>
    <w:p w:rsidR="005676CE" w:rsidRDefault="005676CE" w:rsidP="005676CE">
      <w:pPr>
        <w:spacing w:line="440" w:lineRule="exact"/>
        <w:ind w:firstLine="480"/>
        <w:rPr>
          <w:color w:val="000000"/>
          <w:sz w:val="24"/>
        </w:rPr>
      </w:pPr>
      <w:r>
        <w:rPr>
          <w:color w:val="000000"/>
          <w:sz w:val="24"/>
        </w:rPr>
        <w:t>公司的销售服务的标识，在合同中写明产品的规格型号和要求</w:t>
      </w:r>
      <w:r>
        <w:rPr>
          <w:rFonts w:hint="eastAsia"/>
          <w:color w:val="000000"/>
          <w:sz w:val="24"/>
        </w:rPr>
        <w:t>，由销售部</w:t>
      </w:r>
      <w:r>
        <w:rPr>
          <w:color w:val="000000"/>
          <w:sz w:val="24"/>
        </w:rPr>
        <w:t>填写销售服务跟踪单，对服务的全进程进行跟踪记录等方法实现服务标识。同时实现服务的可追溯性。对产品的标识，供方负责采用适宜的方法（如标牌、</w:t>
      </w:r>
      <w:r>
        <w:rPr>
          <w:color w:val="000000"/>
          <w:sz w:val="24"/>
        </w:rPr>
        <w:lastRenderedPageBreak/>
        <w:t>标签等）对产品进行标识，办公室负责检查供应方产品标识情况。确保标识完整清晰。</w:t>
      </w:r>
    </w:p>
    <w:p w:rsidR="005676CE" w:rsidRDefault="005676CE" w:rsidP="005676CE">
      <w:pPr>
        <w:pStyle w:val="3"/>
        <w:rPr>
          <w:rFonts w:ascii="宋体" w:hAnsi="宋体" w:cs="宋体"/>
          <w:bCs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sz w:val="24"/>
          <w:szCs w:val="24"/>
          <w:lang w:eastAsia="zh-CN"/>
        </w:rPr>
        <w:t>8.5.3</w:t>
      </w:r>
      <w:r>
        <w:rPr>
          <w:rFonts w:ascii="宋体" w:hAnsi="宋体" w:cs="宋体" w:hint="eastAsia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bCs/>
          <w:sz w:val="24"/>
          <w:szCs w:val="24"/>
          <w:lang w:eastAsia="zh-CN"/>
        </w:rPr>
        <w:t>顾客或外部供方财产</w:t>
      </w:r>
      <w:bookmarkEnd w:id="2"/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bookmarkStart w:id="3" w:name="_Toc476354700"/>
      <w:r>
        <w:rPr>
          <w:rFonts w:ascii="Times New Roman" w:hAnsi="Times New Roman"/>
          <w:sz w:val="24"/>
        </w:rPr>
        <w:t>组织应爱护在我公司控制下的或我公司使用的顾客财产，应识别、验证、保护和维护使用或构成产品的一部分的顾客财产，若发生丢失、损坏或发现不适用的情况时，应报告顾客，并保持记录。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由</w:t>
      </w:r>
      <w:r>
        <w:rPr>
          <w:rFonts w:ascii="Times New Roman" w:hAnsi="Times New Roman" w:hint="eastAsia"/>
          <w:sz w:val="24"/>
        </w:rPr>
        <w:t>销售部</w:t>
      </w:r>
      <w:r>
        <w:rPr>
          <w:rFonts w:ascii="Times New Roman" w:hAnsi="Times New Roman"/>
          <w:sz w:val="24"/>
        </w:rPr>
        <w:t>负责顾客财产管理协调，发现问题及时与顾客沟通。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顾客财产可包括：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ⅰ</w:t>
      </w:r>
      <w:r>
        <w:rPr>
          <w:rFonts w:ascii="Times New Roman" w:hAnsi="Times New Roman"/>
          <w:sz w:val="24"/>
        </w:rPr>
        <w:t>顾客提供个人信息</w:t>
      </w:r>
      <w:r>
        <w:rPr>
          <w:rFonts w:ascii="Times New Roman" w:hAnsi="Times New Roman"/>
          <w:sz w:val="24"/>
        </w:rPr>
        <w:t>;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ⅱ</w:t>
      </w:r>
      <w:r>
        <w:rPr>
          <w:rFonts w:ascii="Times New Roman" w:hAnsi="Times New Roman"/>
          <w:sz w:val="24"/>
        </w:rPr>
        <w:t>顾客的场所</w:t>
      </w:r>
      <w:r>
        <w:rPr>
          <w:rFonts w:ascii="Times New Roman" w:hAnsi="Times New Roman"/>
          <w:sz w:val="24"/>
        </w:rPr>
        <w:t>;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ⅵ</w:t>
      </w:r>
      <w:r>
        <w:rPr>
          <w:rFonts w:ascii="Times New Roman" w:hAnsi="Times New Roman"/>
          <w:sz w:val="24"/>
        </w:rPr>
        <w:t>顾客的知识产权，包括规范和专利方面的信息</w:t>
      </w:r>
      <w:r>
        <w:rPr>
          <w:rFonts w:ascii="Times New Roman" w:hAnsi="Times New Roman" w:hint="eastAsia"/>
          <w:sz w:val="24"/>
        </w:rPr>
        <w:t>；</w:t>
      </w:r>
    </w:p>
    <w:p w:rsidR="005676CE" w:rsidRDefault="005676CE" w:rsidP="005676CE">
      <w:pPr>
        <w:spacing w:line="400" w:lineRule="exact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 w:hint="eastAsia"/>
          <w:sz w:val="24"/>
        </w:rPr>
        <w:t>ii</w:t>
      </w:r>
      <w:r>
        <w:rPr>
          <w:rFonts w:ascii="Times New Roman" w:hAnsi="Times New Roman" w:hint="eastAsia"/>
          <w:sz w:val="24"/>
        </w:rPr>
        <w:t>顾客提供的技术资料。</w:t>
      </w:r>
    </w:p>
    <w:p w:rsidR="005676CE" w:rsidRDefault="005676CE" w:rsidP="005676C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目前我公司相关方财产为顾客及供方的信息，保存在公司电脑中保密不外泄。</w:t>
      </w:r>
    </w:p>
    <w:p w:rsidR="005676CE" w:rsidRDefault="005676CE" w:rsidP="005676CE">
      <w:pPr>
        <w:spacing w:line="360" w:lineRule="auto"/>
        <w:rPr>
          <w:bCs/>
        </w:rPr>
      </w:pPr>
      <w:r>
        <w:rPr>
          <w:rFonts w:hint="eastAsia"/>
          <w:b/>
        </w:rPr>
        <w:t xml:space="preserve">8.5.4 </w:t>
      </w:r>
      <w:r>
        <w:rPr>
          <w:b/>
        </w:rPr>
        <w:t xml:space="preserve"> </w:t>
      </w:r>
      <w:r>
        <w:rPr>
          <w:rFonts w:hint="eastAsia"/>
          <w:b/>
        </w:rPr>
        <w:t>防护</w:t>
      </w:r>
      <w:r>
        <w:rPr>
          <w:b/>
        </w:rPr>
        <w:t xml:space="preserve"> </w:t>
      </w:r>
      <w:r>
        <w:rPr>
          <w:bCs/>
        </w:rPr>
        <w:t xml:space="preserve">   </w:t>
      </w:r>
    </w:p>
    <w:p w:rsidR="005676CE" w:rsidRDefault="005676CE" w:rsidP="005676CE">
      <w:pPr>
        <w:spacing w:line="400" w:lineRule="exact"/>
        <w:rPr>
          <w:rFonts w:eastAsia="宋体"/>
          <w:sz w:val="24"/>
        </w:rPr>
      </w:pPr>
      <w:r>
        <w:rPr>
          <w:rFonts w:ascii="Times New Roman" w:hAnsi="Times New Roman" w:hint="eastAsia"/>
          <w:sz w:val="24"/>
        </w:rPr>
        <w:t>销售部</w:t>
      </w:r>
      <w:r>
        <w:rPr>
          <w:rFonts w:ascii="Times New Roman" w:hAnsi="Times New Roman"/>
          <w:sz w:val="24"/>
        </w:rPr>
        <w:t>对</w:t>
      </w:r>
      <w:r>
        <w:rPr>
          <w:rFonts w:ascii="Times New Roman" w:hAnsi="Times New Roman" w:hint="eastAsia"/>
          <w:sz w:val="24"/>
        </w:rPr>
        <w:t>销售</w:t>
      </w:r>
      <w:r>
        <w:rPr>
          <w:rFonts w:ascii="Times New Roman" w:hAnsi="Times New Roman"/>
          <w:sz w:val="24"/>
        </w:rPr>
        <w:t>产品的标识、传送、包装、贮存和保护等进行控制，确保满足产品的符合性要求，按要求交付下一工序或顾客。标识方式包括个人签字，盖章等。</w:t>
      </w:r>
      <w:r>
        <w:rPr>
          <w:rFonts w:ascii="Times New Roman" w:hAnsi="Times New Roman" w:hint="eastAsia"/>
          <w:sz w:val="24"/>
        </w:rPr>
        <w:t>研发部对研发产品</w:t>
      </w:r>
      <w:r>
        <w:rPr>
          <w:rFonts w:ascii="Times New Roman" w:hAnsi="Times New Roman"/>
          <w:sz w:val="24"/>
        </w:rPr>
        <w:t>的标识、传送、包装、贮存和保护等进行控制，确保满足产品的符合性要求</w:t>
      </w:r>
      <w:r>
        <w:rPr>
          <w:rFonts w:ascii="Times New Roman" w:hAnsi="Times New Roman" w:hint="eastAsia"/>
          <w:sz w:val="24"/>
        </w:rPr>
        <w:t>。</w:t>
      </w:r>
    </w:p>
    <w:p w:rsidR="005676CE" w:rsidRDefault="005676CE" w:rsidP="005676CE">
      <w:pPr>
        <w:spacing w:line="360" w:lineRule="auto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 xml:space="preserve">8.5.5 </w:t>
      </w:r>
      <w:r>
        <w:rPr>
          <w:rFonts w:ascii="宋体" w:hAnsi="宋体" w:cs="宋体" w:hint="eastAsia"/>
          <w:b/>
        </w:rPr>
        <w:t>交付后活动</w:t>
      </w:r>
    </w:p>
    <w:p w:rsidR="005676CE" w:rsidRDefault="005676CE" w:rsidP="005676CE">
      <w:pPr>
        <w:spacing w:line="400" w:lineRule="exac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要满足与产品和服务相关的交付后活动的要求。</w:t>
      </w:r>
    </w:p>
    <w:p w:rsidR="005676CE" w:rsidRDefault="005676CE" w:rsidP="005676CE">
      <w:pPr>
        <w:spacing w:line="400" w:lineRule="exac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在确定交付后活动的覆盖范围和程度时，</w:t>
      </w:r>
      <w:r>
        <w:rPr>
          <w:rFonts w:hint="eastAsia"/>
          <w:sz w:val="24"/>
        </w:rPr>
        <w:t>销售部</w:t>
      </w:r>
      <w:r>
        <w:rPr>
          <w:sz w:val="24"/>
        </w:rPr>
        <w:t>应考虑：</w:t>
      </w:r>
    </w:p>
    <w:p w:rsidR="005676CE" w:rsidRDefault="005676CE" w:rsidP="005676CE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  a) </w:t>
      </w:r>
      <w:r>
        <w:rPr>
          <w:sz w:val="24"/>
        </w:rPr>
        <w:t>法律法规要求；</w:t>
      </w:r>
    </w:p>
    <w:p w:rsidR="005676CE" w:rsidRDefault="005676CE" w:rsidP="005676CE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  b) </w:t>
      </w:r>
      <w:r>
        <w:rPr>
          <w:sz w:val="24"/>
        </w:rPr>
        <w:t>与产品和服务有关的潜在不期望的后果；</w:t>
      </w:r>
    </w:p>
    <w:p w:rsidR="005676CE" w:rsidRDefault="005676CE" w:rsidP="005676CE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  c) </w:t>
      </w:r>
      <w:r>
        <w:rPr>
          <w:sz w:val="24"/>
        </w:rPr>
        <w:t>产品和服务的性质、用途和预期结果；</w:t>
      </w:r>
    </w:p>
    <w:p w:rsidR="005676CE" w:rsidRDefault="005676CE" w:rsidP="005676CE">
      <w:pPr>
        <w:spacing w:line="400" w:lineRule="exact"/>
        <w:ind w:left="214"/>
        <w:rPr>
          <w:sz w:val="24"/>
        </w:rPr>
      </w:pPr>
      <w:r>
        <w:rPr>
          <w:sz w:val="24"/>
        </w:rPr>
        <w:lastRenderedPageBreak/>
        <w:t xml:space="preserve">  d) </w:t>
      </w:r>
      <w:r>
        <w:rPr>
          <w:sz w:val="24"/>
        </w:rPr>
        <w:t>顾客要求；</w:t>
      </w:r>
    </w:p>
    <w:p w:rsidR="005676CE" w:rsidRDefault="005676CE" w:rsidP="005676CE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  e) </w:t>
      </w:r>
      <w:r>
        <w:rPr>
          <w:sz w:val="24"/>
        </w:rPr>
        <w:t>顾客反馈。</w:t>
      </w:r>
    </w:p>
    <w:p w:rsidR="005676CE" w:rsidRDefault="005676CE" w:rsidP="005676CE">
      <w:pPr>
        <w:spacing w:line="400" w:lineRule="exac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注：交付后活动可能包括担保条款所规定的相关活动，诸如合同规定的技术维护服务，以及附加服务等。</w:t>
      </w:r>
    </w:p>
    <w:p w:rsidR="005676CE" w:rsidRDefault="005676CE" w:rsidP="005676CE">
      <w:pPr>
        <w:spacing w:line="400" w:lineRule="exact"/>
        <w:rPr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销售部和研发部</w:t>
      </w:r>
      <w:r>
        <w:rPr>
          <w:rFonts w:ascii="Times New Roman" w:hAnsi="Times New Roman"/>
          <w:sz w:val="24"/>
        </w:rPr>
        <w:t>做好产品交付及售后服务等事宜。</w:t>
      </w:r>
    </w:p>
    <w:p w:rsidR="005676CE" w:rsidRDefault="005676CE" w:rsidP="005676CE">
      <w:pPr>
        <w:spacing w:line="360" w:lineRule="auto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 xml:space="preserve">8.5.6 </w:t>
      </w:r>
      <w:r>
        <w:rPr>
          <w:rFonts w:ascii="宋体" w:hAnsi="宋体" w:cs="宋体" w:hint="eastAsia"/>
          <w:b/>
        </w:rPr>
        <w:t>更改控制</w:t>
      </w:r>
    </w:p>
    <w:bookmarkEnd w:id="3"/>
    <w:p w:rsidR="005676CE" w:rsidRDefault="005676CE" w:rsidP="005676CE"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在确定所需产品和服务期间法律法规要求变化时、市场出现变化时、客户要求追加其他产品和服务时，</w:t>
      </w:r>
      <w:r>
        <w:rPr>
          <w:rFonts w:hint="eastAsia"/>
          <w:color w:val="000000"/>
          <w:sz w:val="24"/>
        </w:rPr>
        <w:t>销售部</w:t>
      </w:r>
      <w:r>
        <w:rPr>
          <w:color w:val="000000"/>
          <w:sz w:val="24"/>
        </w:rPr>
        <w:t>提出变更，得到授权人批准，通知到相关部门，变更后</w:t>
      </w:r>
      <w:r>
        <w:rPr>
          <w:rFonts w:hint="eastAsia"/>
          <w:color w:val="000000"/>
          <w:sz w:val="24"/>
        </w:rPr>
        <w:t>销售部组织相关部门</w:t>
      </w:r>
      <w:r>
        <w:rPr>
          <w:color w:val="000000"/>
          <w:sz w:val="24"/>
        </w:rPr>
        <w:t>对产品和服务提供的更改进行必要的评审和控制，以确保稳定的符合要求。</w:t>
      </w:r>
      <w:r>
        <w:rPr>
          <w:color w:val="000000"/>
          <w:sz w:val="24"/>
        </w:rPr>
        <w:t xml:space="preserve">     </w:t>
      </w:r>
    </w:p>
    <w:p w:rsidR="005676CE" w:rsidRDefault="005676CE" w:rsidP="005676CE">
      <w:pPr>
        <w:spacing w:line="400" w:lineRule="exact"/>
        <w:rPr>
          <w:sz w:val="24"/>
        </w:rPr>
      </w:pPr>
      <w:r>
        <w:rPr>
          <w:color w:val="000000"/>
          <w:sz w:val="24"/>
        </w:rPr>
        <w:t>组织应保留形成文件的信息，包括有关更改评审结果、授权进行更改的人员以及评审所采取的任何必要措施。</w:t>
      </w:r>
    </w:p>
    <w:p w:rsidR="004358AB" w:rsidRDefault="004358AB" w:rsidP="00D31D50">
      <w:pPr>
        <w:spacing w:line="220" w:lineRule="atLeast"/>
      </w:pPr>
    </w:p>
    <w:p w:rsidR="004306B1" w:rsidRDefault="004306B1" w:rsidP="00D31D50">
      <w:pPr>
        <w:spacing w:line="220" w:lineRule="atLeast"/>
      </w:pPr>
    </w:p>
    <w:p w:rsidR="00C21B2A" w:rsidRPr="004651A0" w:rsidRDefault="00C21B2A" w:rsidP="00C21B2A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C21B2A" w:rsidRPr="004651A0" w:rsidRDefault="00C21B2A" w:rsidP="00C21B2A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7" w:history="1">
        <w:r w:rsidR="009D2770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C21B2A" w:rsidRPr="004651A0" w:rsidRDefault="00C21B2A" w:rsidP="00C21B2A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4306B1" w:rsidRDefault="004306B1" w:rsidP="00D31D50">
      <w:pPr>
        <w:spacing w:line="220" w:lineRule="atLeast"/>
      </w:pPr>
    </w:p>
    <w:sectPr w:rsidR="004306B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3B" w:rsidRDefault="007C763B" w:rsidP="002F1E2D">
      <w:pPr>
        <w:spacing w:after="0"/>
      </w:pPr>
      <w:r>
        <w:separator/>
      </w:r>
    </w:p>
  </w:endnote>
  <w:endnote w:type="continuationSeparator" w:id="0">
    <w:p w:rsidR="007C763B" w:rsidRDefault="007C763B" w:rsidP="002F1E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3B" w:rsidRDefault="007C763B" w:rsidP="002F1E2D">
      <w:pPr>
        <w:spacing w:after="0"/>
      </w:pPr>
      <w:r>
        <w:separator/>
      </w:r>
    </w:p>
  </w:footnote>
  <w:footnote w:type="continuationSeparator" w:id="0">
    <w:p w:rsidR="007C763B" w:rsidRDefault="007C763B" w:rsidP="002F1E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C"/>
    <w:multiLevelType w:val="singleLevel"/>
    <w:tmpl w:val="5C94629C"/>
    <w:lvl w:ilvl="0">
      <w:start w:val="1"/>
      <w:numFmt w:val="lowerLetter"/>
      <w:lvlText w:val="%1)"/>
      <w:lvlJc w:val="left"/>
      <w:pPr>
        <w:ind w:left="435" w:hanging="210"/>
      </w:pPr>
      <w:rPr>
        <w:rFonts w:ascii="宋体" w:eastAsia="宋体" w:hAnsi="宋体" w:hint="default"/>
        <w:color w:val="000000"/>
        <w:w w:val="1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B02"/>
    <w:rsid w:val="002975AA"/>
    <w:rsid w:val="002D25B9"/>
    <w:rsid w:val="002F1E2D"/>
    <w:rsid w:val="00323B43"/>
    <w:rsid w:val="003D37D8"/>
    <w:rsid w:val="00426133"/>
    <w:rsid w:val="004306B1"/>
    <w:rsid w:val="004358AB"/>
    <w:rsid w:val="005676CE"/>
    <w:rsid w:val="0071420B"/>
    <w:rsid w:val="007C763B"/>
    <w:rsid w:val="008B2F30"/>
    <w:rsid w:val="008B7726"/>
    <w:rsid w:val="00911BF9"/>
    <w:rsid w:val="009D2770"/>
    <w:rsid w:val="00B41B6D"/>
    <w:rsid w:val="00C21B2A"/>
    <w:rsid w:val="00D31D50"/>
    <w:rsid w:val="00F66967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qFormat/>
    <w:rsid w:val="005676CE"/>
    <w:pPr>
      <w:keepNext/>
      <w:widowControl w:val="0"/>
      <w:snapToGrid/>
      <w:spacing w:after="0" w:line="360" w:lineRule="atLeast"/>
      <w:jc w:val="both"/>
      <w:textAlignment w:val="baseline"/>
      <w:outlineLvl w:val="2"/>
    </w:pPr>
    <w:rPr>
      <w:rFonts w:ascii="Times New Roman" w:eastAsia="宋体" w:hAnsi="Times New Roman" w:cs="Times New Roman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E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E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E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E2D"/>
    <w:rPr>
      <w:rFonts w:ascii="Tahoma" w:hAnsi="Tahoma"/>
      <w:sz w:val="18"/>
      <w:szCs w:val="18"/>
    </w:rPr>
  </w:style>
  <w:style w:type="character" w:styleId="a5">
    <w:name w:val="Hyperlink"/>
    <w:basedOn w:val="a0"/>
    <w:rsid w:val="00C21B2A"/>
    <w:rPr>
      <w:color w:val="0000FF"/>
      <w:u w:val="single"/>
    </w:rPr>
  </w:style>
  <w:style w:type="character" w:customStyle="1" w:styleId="3Char">
    <w:name w:val="标题 3 Char"/>
    <w:basedOn w:val="a0"/>
    <w:link w:val="3"/>
    <w:rsid w:val="005676CE"/>
    <w:rPr>
      <w:rFonts w:ascii="Times New Roman" w:eastAsia="宋体" w:hAnsi="Times New Roman" w:cs="Times New Roman"/>
      <w:b/>
      <w:sz w:val="28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2020-07-13T06:30:00Z</dcterms:modified>
</cp:coreProperties>
</file>