
<file path=[Content_Types].xml><?xml version="1.0" encoding="utf-8"?>
<Types xmlns="http://schemas.openxmlformats.org/package/2006/content-types">
  <Default Extension="xml" ContentType="application/xml"/>
  <Default Extension="wmf" ContentType="image/x-wmf"/>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7CE6F3E"/>
    <w:p w14:paraId="67B0FB20"/>
    <w:p w14:paraId="684363CC"/>
    <w:p w14:paraId="480F5F65"/>
    <w:p w14:paraId="04E9DF48"/>
    <w:p w14:paraId="5AA7018C">
      <w:pPr>
        <w:jc w:val="center"/>
      </w:pPr>
      <w:r>
        <w:rPr>
          <w:rFonts w:ascii="Times New Roman" w:hAnsi="Times New Roman" w:eastAsia="宋体"/>
          <w:b/>
          <w:i w:val="0"/>
          <w:color w:val="C01E2E"/>
          <w:sz w:val="68"/>
        </w:rPr>
        <w:t>ISO 9001:2026</w:t>
      </w:r>
    </w:p>
    <w:p w14:paraId="20C072E8">
      <w:pPr>
        <w:jc w:val="center"/>
      </w:pPr>
      <w:r>
        <w:rPr>
          <w:rFonts w:ascii="Times New Roman" w:hAnsi="Times New Roman" w:eastAsia="宋体"/>
          <w:b/>
          <w:i w:val="0"/>
          <w:color w:val="000000"/>
          <w:sz w:val="48"/>
        </w:rPr>
        <w:t>质量管理体系 要求</w:t>
      </w:r>
    </w:p>
    <w:p w14:paraId="29D2B9E2">
      <w:pPr>
        <w:jc w:val="center"/>
      </w:pPr>
      <w:r>
        <w:rPr>
          <w:rFonts w:ascii="Times New Roman" w:hAnsi="Times New Roman" w:eastAsia="宋体"/>
          <w:b w:val="0"/>
          <w:i/>
          <w:color w:val="595959"/>
          <w:sz w:val="26"/>
        </w:rPr>
        <w:t>Quality management systems — Requirements</w:t>
      </w:r>
    </w:p>
    <w:p w14:paraId="4D3397C8">
      <w:pPr>
        <w:jc w:val="center"/>
      </w:pPr>
      <w:r>
        <w:rPr>
          <w:rFonts w:ascii="Times New Roman" w:hAnsi="Times New Roman" w:eastAsia="宋体"/>
          <w:b/>
          <w:i w:val="0"/>
          <w:color w:val="000000"/>
          <w:sz w:val="34"/>
        </w:rPr>
        <w:t>中英对照全文译文</w:t>
      </w:r>
    </w:p>
    <w:p w14:paraId="71338F51">
      <w:pPr>
        <w:jc w:val="center"/>
      </w:pPr>
      <w:r>
        <w:rPr>
          <w:rFonts w:ascii="Times New Roman" w:hAnsi="Times New Roman" w:eastAsia="宋体"/>
          <w:b w:val="0"/>
          <w:i w:val="0"/>
          <w:color w:val="595959"/>
          <w:sz w:val="22"/>
        </w:rPr>
        <w:t>国际标准 · 第六版 · 2026-09 发布</w:t>
      </w:r>
    </w:p>
    <w:p w14:paraId="4F2CF642"/>
    <w:p w14:paraId="4334C5AB"/>
    <w:p w14:paraId="1445A28E"/>
    <w:p w14:paraId="661CFC7C"/>
    <w:p w14:paraId="7F65A36F"/>
    <w:p w14:paraId="31BD7387"/>
    <w:p w14:paraId="1FEF472F">
      <w:pPr>
        <w:jc w:val="center"/>
      </w:pPr>
      <w:r>
        <w:rPr>
          <w:rFonts w:ascii="Times New Roman" w:hAnsi="Times New Roman" w:eastAsia="宋体"/>
          <w:b w:val="0"/>
          <w:i w:val="0"/>
          <w:color w:val="595959"/>
          <w:sz w:val="21"/>
        </w:rPr>
        <w:t>排版：英文原文在上，中文译文逐段对照于下</w:t>
      </w:r>
      <w:r>
        <w:rPr>
          <w:rFonts w:ascii="Times New Roman" w:hAnsi="Times New Roman" w:eastAsia="宋体"/>
          <w:b w:val="0"/>
          <w:i w:val="0"/>
          <w:color w:val="595959"/>
          <w:sz w:val="21"/>
        </w:rPr>
        <w:br w:type="textWrapping"/>
      </w:r>
      <w:r>
        <w:rPr>
          <w:rFonts w:ascii="Times New Roman" w:hAnsi="Times New Roman" w:eastAsia="宋体"/>
          <w:b w:val="0"/>
          <w:i w:val="0"/>
          <w:color w:val="595959"/>
          <w:sz w:val="21"/>
        </w:rPr>
        <w:t>术语体系：参照 GB/T 19001-2016《质量管理体系 要求》</w:t>
      </w:r>
      <w:r>
        <w:rPr>
          <w:rFonts w:ascii="Times New Roman" w:hAnsi="Times New Roman" w:eastAsia="宋体"/>
          <w:b w:val="0"/>
          <w:i w:val="0"/>
          <w:color w:val="595959"/>
          <w:sz w:val="21"/>
        </w:rPr>
        <w:br w:type="textWrapping"/>
      </w:r>
      <w:r>
        <w:rPr>
          <w:rFonts w:ascii="Times New Roman" w:hAnsi="Times New Roman" w:eastAsia="宋体"/>
          <w:b w:val="0"/>
          <w:i w:val="0"/>
          <w:color w:val="595959"/>
          <w:sz w:val="21"/>
        </w:rPr>
        <w:t>第六版取消并替代第五版（ISO 9001:2015），并纳入 ISO 9001:2015/Amd 1:2024</w:t>
      </w:r>
    </w:p>
    <w:p w14:paraId="3E2BD9D8"/>
    <w:p w14:paraId="219426DC">
      <w:pPr>
        <w:jc w:val="center"/>
      </w:pPr>
      <w:r>
        <w:rPr>
          <w:rFonts w:ascii="Times New Roman" w:hAnsi="Times New Roman" w:eastAsia="宋体"/>
          <w:b w:val="0"/>
          <w:i w:val="0"/>
          <w:color w:val="C01E2E"/>
          <w:sz w:val="19"/>
        </w:rPr>
        <w:t>【内部参考译文】本译文仅供组织内部学习与转版过渡参考，</w:t>
      </w:r>
      <w:r>
        <w:rPr>
          <w:rFonts w:ascii="Times New Roman" w:hAnsi="Times New Roman" w:eastAsia="宋体"/>
          <w:b w:val="0"/>
          <w:i w:val="0"/>
          <w:color w:val="C01E2E"/>
          <w:sz w:val="19"/>
        </w:rPr>
        <w:br w:type="textWrapping"/>
      </w:r>
      <w:r>
        <w:rPr>
          <w:rFonts w:ascii="Times New Roman" w:hAnsi="Times New Roman" w:eastAsia="宋体"/>
          <w:b w:val="0"/>
          <w:i w:val="0"/>
          <w:color w:val="C01E2E"/>
          <w:sz w:val="19"/>
        </w:rPr>
        <w:t>不构成标准原文之正式中文版本；以 ISO 官方发布的英文原文及官方中文采用版为准。</w:t>
      </w:r>
    </w:p>
    <w:p w14:paraId="1DA80512">
      <w:r>
        <w:br w:type="page"/>
      </w:r>
    </w:p>
    <w:p w14:paraId="3E74AFA9">
      <w:r>
        <w:rPr>
          <w:rFonts w:ascii="Times New Roman" w:hAnsi="Times New Roman" w:eastAsia="宋体"/>
          <w:b/>
          <w:i w:val="0"/>
          <w:color w:val="000000"/>
          <w:sz w:val="32"/>
        </w:rPr>
        <w:t>译 例 说 明</w:t>
      </w:r>
    </w:p>
    <w:p w14:paraId="14342359">
      <w:pPr>
        <w:spacing w:after="120"/>
      </w:pPr>
      <w:r>
        <w:rPr>
          <w:rFonts w:ascii="Times New Roman" w:hAnsi="Times New Roman" w:eastAsia="宋体"/>
          <w:b w:val="0"/>
          <w:i w:val="0"/>
          <w:color w:val="000000"/>
          <w:sz w:val="21"/>
        </w:rPr>
        <w:t>1. 本对照译文依据 ISO 9001:2026（第六版，2026-09）英文原文逐条翻译，采用“英文原文在上、中文译文紧随其下”的上下对照排版，与原文条款号一一对应。</w:t>
      </w:r>
    </w:p>
    <w:p w14:paraId="4098EC62">
      <w:pPr>
        <w:spacing w:after="120"/>
      </w:pPr>
      <w:r>
        <w:rPr>
          <w:rFonts w:ascii="Times New Roman" w:hAnsi="Times New Roman" w:eastAsia="宋体"/>
          <w:b w:val="0"/>
          <w:i w:val="0"/>
          <w:color w:val="000000"/>
          <w:sz w:val="21"/>
        </w:rPr>
        <w:t>2. 术语翻译以 GB/T 19001-2016《质量管理体系 要求》及 GB/T 19000-2016《质量管理体系 基础和术语》为准：如 interested party＝相关方、documented information＝成文信息、external provider＝外部供方、opportunity＝机遇、nonconforming outputs＝不合格输出、performance＝绩效、continual improvement＝持续改进、conformity＝合格（符合）。</w:t>
      </w:r>
    </w:p>
    <w:p w14:paraId="33C52FEA">
      <w:pPr>
        <w:spacing w:after="120"/>
      </w:pPr>
      <w:r>
        <w:rPr>
          <w:rFonts w:ascii="Times New Roman" w:hAnsi="Times New Roman" w:eastAsia="宋体"/>
          <w:b w:val="0"/>
          <w:i w:val="0"/>
          <w:color w:val="000000"/>
          <w:sz w:val="21"/>
        </w:rPr>
        <w:t>3. 新版新增概念的译法：quality culture＝质量文化；ethical behaviour＝道德行为；opportunity-based thinking＝基于机遇的思维；disruption / disruptive occurrence＝中断／中断性事件；contingency actions＝应急措施。</w:t>
      </w:r>
    </w:p>
    <w:p w14:paraId="74D684E4">
      <w:pPr>
        <w:spacing w:after="120"/>
      </w:pPr>
      <w:r>
        <w:rPr>
          <w:rFonts w:ascii="Times New Roman" w:hAnsi="Times New Roman" w:eastAsia="宋体"/>
          <w:b w:val="0"/>
          <w:i w:val="0"/>
          <w:color w:val="000000"/>
          <w:sz w:val="21"/>
        </w:rPr>
        <w:t>4. 英文原意“shall”译为“应”；注（NOTE）与示例（EXAMPLE）的英文按原文以缩进斜体排印，中文译文（注／示例）紧随其下。</w:t>
      </w:r>
    </w:p>
    <w:p w14:paraId="78C5E6CF">
      <w:pPr>
        <w:spacing w:after="120"/>
      </w:pPr>
      <w:r>
        <w:rPr>
          <w:rFonts w:ascii="Times New Roman" w:hAnsi="Times New Roman" w:eastAsia="宋体"/>
          <w:b w:val="0"/>
          <w:i w:val="0"/>
          <w:color w:val="000000"/>
          <w:sz w:val="21"/>
        </w:rPr>
        <w:t>5. 图1、图2 为示意图，本译文仅排印其中英文图题（居中对照）；正式使用时请以 ISO 官方文件中的图形为准。</w:t>
      </w:r>
    </w:p>
    <w:p w14:paraId="63D84ED1">
      <w:pPr>
        <w:spacing w:after="120"/>
      </w:pPr>
      <w:r>
        <w:rPr>
          <w:rFonts w:ascii="Times New Roman" w:hAnsi="Times New Roman" w:eastAsia="宋体"/>
          <w:b w:val="0"/>
          <w:i w:val="0"/>
          <w:color w:val="000000"/>
          <w:sz w:val="21"/>
        </w:rPr>
        <w:t>6. 条款中的清单编号（a)、b)…与 1)、2)…）及破折号清单（—）均按原文格式排印，清单顺序不表示优先级（见附录A.2）。</w:t>
      </w:r>
    </w:p>
    <w:p w14:paraId="5D6C6BAE">
      <w:r>
        <w:br w:type="page"/>
      </w:r>
    </w:p>
    <w:p w14:paraId="35964497">
      <w:r>
        <w:rPr>
          <w:rFonts w:ascii="Times New Roman" w:hAnsi="Times New Roman" w:eastAsia="宋体"/>
          <w:b/>
          <w:i w:val="0"/>
          <w:color w:val="000000"/>
          <w:sz w:val="32"/>
        </w:rPr>
        <w:t>核心术语中英对照表（EN ⇋ CN）</w:t>
      </w:r>
    </w:p>
    <w:p w14:paraId="05154301">
      <w:r>
        <w:rPr>
          <w:rFonts w:ascii="Times New Roman" w:hAnsi="Times New Roman" w:eastAsia="宋体"/>
          <w:b w:val="0"/>
          <w:i w:val="0"/>
          <w:color w:val="595959"/>
          <w:sz w:val="19"/>
        </w:rPr>
        <w:t>依据 GB/T 19001-2016 / GB/T 19000-2016 及 ISO 9000 系列（★ 为 2026 版新增或重点概念）</w:t>
      </w:r>
    </w:p>
    <w:tbl>
      <w:tblPr>
        <w:tblStyle w:val="3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706"/>
        <w:gridCol w:w="4706"/>
      </w:tblGrid>
      <w:tr w14:paraId="2C9D8C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706" w:type="dxa"/>
            <w:shd w:val="clear" w:color="auto" w:fill="2F4056"/>
          </w:tcPr>
          <w:p w14:paraId="1811BE1A">
            <w:pPr>
              <w:spacing w:after="0" w:line="240" w:lineRule="auto"/>
              <w:jc w:val="center"/>
            </w:pPr>
            <w:r>
              <w:rPr>
                <w:rFonts w:ascii="Times New Roman" w:hAnsi="Times New Roman" w:eastAsia="宋体"/>
                <w:b/>
                <w:i w:val="0"/>
                <w:color w:val="FFFFFF"/>
                <w:sz w:val="19"/>
              </w:rPr>
              <w:t>English Term（英文术语）</w:t>
            </w:r>
          </w:p>
        </w:tc>
        <w:tc>
          <w:tcPr>
            <w:tcW w:w="4706" w:type="dxa"/>
            <w:shd w:val="clear" w:color="auto" w:fill="2F4056"/>
          </w:tcPr>
          <w:p w14:paraId="509BFD7A">
            <w:pPr>
              <w:spacing w:after="0" w:line="240" w:lineRule="auto"/>
              <w:jc w:val="center"/>
            </w:pPr>
            <w:r>
              <w:rPr>
                <w:rFonts w:ascii="Times New Roman" w:hAnsi="Times New Roman" w:eastAsia="宋体"/>
                <w:b/>
                <w:i w:val="0"/>
                <w:color w:val="FFFFFF"/>
                <w:sz w:val="19"/>
              </w:rPr>
              <w:t>Chinese Term（中文术语）</w:t>
            </w:r>
          </w:p>
        </w:tc>
      </w:tr>
      <w:tr w14:paraId="37AE58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706" w:type="dxa"/>
          </w:tcPr>
          <w:p w14:paraId="2F6D0BA6">
            <w:pPr>
              <w:spacing w:after="0" w:line="240" w:lineRule="auto"/>
            </w:pPr>
            <w:r>
              <w:rPr>
                <w:rFonts w:ascii="Times New Roman" w:hAnsi="Times New Roman" w:eastAsia="宋体"/>
                <w:b w:val="0"/>
                <w:i w:val="0"/>
                <w:color w:val="595959"/>
                <w:sz w:val="19"/>
              </w:rPr>
              <w:t>organization</w:t>
            </w:r>
          </w:p>
        </w:tc>
        <w:tc>
          <w:tcPr>
            <w:tcW w:w="4706" w:type="dxa"/>
          </w:tcPr>
          <w:p w14:paraId="2870CCDA">
            <w:pPr>
              <w:spacing w:after="0" w:line="240" w:lineRule="auto"/>
            </w:pPr>
            <w:r>
              <w:rPr>
                <w:rFonts w:ascii="Times New Roman" w:hAnsi="Times New Roman" w:eastAsia="宋体"/>
                <w:b w:val="0"/>
                <w:i w:val="0"/>
                <w:color w:val="000000"/>
                <w:sz w:val="19"/>
              </w:rPr>
              <w:t>组织</w:t>
            </w:r>
          </w:p>
        </w:tc>
      </w:tr>
      <w:tr w14:paraId="2199ED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706" w:type="dxa"/>
          </w:tcPr>
          <w:p w14:paraId="5BA1EA8D">
            <w:pPr>
              <w:spacing w:after="0" w:line="240" w:lineRule="auto"/>
            </w:pPr>
            <w:r>
              <w:rPr>
                <w:rFonts w:ascii="Times New Roman" w:hAnsi="Times New Roman" w:eastAsia="宋体"/>
                <w:b w:val="0"/>
                <w:i w:val="0"/>
                <w:color w:val="595959"/>
                <w:sz w:val="19"/>
              </w:rPr>
              <w:t>interested party / stakeholder</w:t>
            </w:r>
          </w:p>
        </w:tc>
        <w:tc>
          <w:tcPr>
            <w:tcW w:w="4706" w:type="dxa"/>
          </w:tcPr>
          <w:p w14:paraId="2E80DEEA">
            <w:pPr>
              <w:spacing w:after="0" w:line="240" w:lineRule="auto"/>
            </w:pPr>
            <w:r>
              <w:rPr>
                <w:rFonts w:ascii="Times New Roman" w:hAnsi="Times New Roman" w:eastAsia="宋体"/>
                <w:b w:val="0"/>
                <w:i w:val="0"/>
                <w:color w:val="000000"/>
                <w:sz w:val="19"/>
              </w:rPr>
              <w:t>相关方（利益相关方）</w:t>
            </w:r>
          </w:p>
        </w:tc>
      </w:tr>
      <w:tr w14:paraId="2DCCA2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706" w:type="dxa"/>
          </w:tcPr>
          <w:p w14:paraId="5A040E16">
            <w:pPr>
              <w:spacing w:after="0" w:line="240" w:lineRule="auto"/>
            </w:pPr>
            <w:r>
              <w:rPr>
                <w:rFonts w:ascii="Times New Roman" w:hAnsi="Times New Roman" w:eastAsia="宋体"/>
                <w:b w:val="0"/>
                <w:i w:val="0"/>
                <w:color w:val="595959"/>
                <w:sz w:val="19"/>
              </w:rPr>
              <w:t>top management</w:t>
            </w:r>
          </w:p>
        </w:tc>
        <w:tc>
          <w:tcPr>
            <w:tcW w:w="4706" w:type="dxa"/>
          </w:tcPr>
          <w:p w14:paraId="3041B35F">
            <w:pPr>
              <w:spacing w:after="0" w:line="240" w:lineRule="auto"/>
            </w:pPr>
            <w:r>
              <w:rPr>
                <w:rFonts w:ascii="Times New Roman" w:hAnsi="Times New Roman" w:eastAsia="宋体"/>
                <w:b w:val="0"/>
                <w:i w:val="0"/>
                <w:color w:val="000000"/>
                <w:sz w:val="19"/>
              </w:rPr>
              <w:t>最高管理者</w:t>
            </w:r>
          </w:p>
        </w:tc>
      </w:tr>
      <w:tr w14:paraId="40AE23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706" w:type="dxa"/>
          </w:tcPr>
          <w:p w14:paraId="4A7B9777">
            <w:pPr>
              <w:spacing w:after="0" w:line="240" w:lineRule="auto"/>
            </w:pPr>
            <w:r>
              <w:rPr>
                <w:rFonts w:ascii="Times New Roman" w:hAnsi="Times New Roman" w:eastAsia="宋体"/>
                <w:b w:val="0"/>
                <w:i w:val="0"/>
                <w:color w:val="595959"/>
                <w:sz w:val="19"/>
              </w:rPr>
              <w:t>management system</w:t>
            </w:r>
          </w:p>
        </w:tc>
        <w:tc>
          <w:tcPr>
            <w:tcW w:w="4706" w:type="dxa"/>
          </w:tcPr>
          <w:p w14:paraId="2F7E5493">
            <w:pPr>
              <w:spacing w:after="0" w:line="240" w:lineRule="auto"/>
            </w:pPr>
            <w:r>
              <w:rPr>
                <w:rFonts w:ascii="Times New Roman" w:hAnsi="Times New Roman" w:eastAsia="宋体"/>
                <w:b w:val="0"/>
                <w:i w:val="0"/>
                <w:color w:val="000000"/>
                <w:sz w:val="19"/>
              </w:rPr>
              <w:t>管理体系</w:t>
            </w:r>
          </w:p>
        </w:tc>
      </w:tr>
      <w:tr w14:paraId="598A8C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706" w:type="dxa"/>
          </w:tcPr>
          <w:p w14:paraId="7E4E0D91">
            <w:pPr>
              <w:spacing w:after="0" w:line="240" w:lineRule="auto"/>
            </w:pPr>
            <w:r>
              <w:rPr>
                <w:rFonts w:ascii="Times New Roman" w:hAnsi="Times New Roman" w:eastAsia="宋体"/>
                <w:b w:val="0"/>
                <w:i w:val="0"/>
                <w:color w:val="595959"/>
                <w:sz w:val="19"/>
              </w:rPr>
              <w:t>quality management system (QMS)</w:t>
            </w:r>
          </w:p>
        </w:tc>
        <w:tc>
          <w:tcPr>
            <w:tcW w:w="4706" w:type="dxa"/>
          </w:tcPr>
          <w:p w14:paraId="4627E8AA">
            <w:pPr>
              <w:spacing w:after="0" w:line="240" w:lineRule="auto"/>
            </w:pPr>
            <w:r>
              <w:rPr>
                <w:rFonts w:ascii="Times New Roman" w:hAnsi="Times New Roman" w:eastAsia="宋体"/>
                <w:b w:val="0"/>
                <w:i w:val="0"/>
                <w:color w:val="000000"/>
                <w:sz w:val="19"/>
              </w:rPr>
              <w:t>质量管理体系</w:t>
            </w:r>
          </w:p>
        </w:tc>
      </w:tr>
      <w:tr w14:paraId="6AB0A7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706" w:type="dxa"/>
          </w:tcPr>
          <w:p w14:paraId="77DBCF8A">
            <w:pPr>
              <w:spacing w:after="0" w:line="240" w:lineRule="auto"/>
            </w:pPr>
            <w:r>
              <w:rPr>
                <w:rFonts w:ascii="Times New Roman" w:hAnsi="Times New Roman" w:eastAsia="宋体"/>
                <w:b w:val="0"/>
                <w:i w:val="0"/>
                <w:color w:val="595959"/>
                <w:sz w:val="19"/>
              </w:rPr>
              <w:t>policy / quality policy</w:t>
            </w:r>
          </w:p>
        </w:tc>
        <w:tc>
          <w:tcPr>
            <w:tcW w:w="4706" w:type="dxa"/>
          </w:tcPr>
          <w:p w14:paraId="3599AD4C">
            <w:pPr>
              <w:spacing w:after="0" w:line="240" w:lineRule="auto"/>
            </w:pPr>
            <w:r>
              <w:rPr>
                <w:rFonts w:ascii="Times New Roman" w:hAnsi="Times New Roman" w:eastAsia="宋体"/>
                <w:b w:val="0"/>
                <w:i w:val="0"/>
                <w:color w:val="000000"/>
                <w:sz w:val="19"/>
              </w:rPr>
              <w:t>方针／质量方针</w:t>
            </w:r>
          </w:p>
        </w:tc>
      </w:tr>
      <w:tr w14:paraId="51F3D6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706" w:type="dxa"/>
          </w:tcPr>
          <w:p w14:paraId="4868C9D8">
            <w:pPr>
              <w:spacing w:after="0" w:line="240" w:lineRule="auto"/>
            </w:pPr>
            <w:r>
              <w:rPr>
                <w:rFonts w:ascii="Times New Roman" w:hAnsi="Times New Roman" w:eastAsia="宋体"/>
                <w:b w:val="0"/>
                <w:i w:val="0"/>
                <w:color w:val="595959"/>
                <w:sz w:val="19"/>
              </w:rPr>
              <w:t>objective / quality objective</w:t>
            </w:r>
          </w:p>
        </w:tc>
        <w:tc>
          <w:tcPr>
            <w:tcW w:w="4706" w:type="dxa"/>
          </w:tcPr>
          <w:p w14:paraId="27936FA6">
            <w:pPr>
              <w:spacing w:after="0" w:line="240" w:lineRule="auto"/>
            </w:pPr>
            <w:r>
              <w:rPr>
                <w:rFonts w:ascii="Times New Roman" w:hAnsi="Times New Roman" w:eastAsia="宋体"/>
                <w:b w:val="0"/>
                <w:i w:val="0"/>
                <w:color w:val="000000"/>
                <w:sz w:val="19"/>
              </w:rPr>
              <w:t>目标／质量目标</w:t>
            </w:r>
          </w:p>
        </w:tc>
      </w:tr>
      <w:tr w14:paraId="4B7CFB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706" w:type="dxa"/>
          </w:tcPr>
          <w:p w14:paraId="2B3D6690">
            <w:pPr>
              <w:spacing w:after="0" w:line="240" w:lineRule="auto"/>
            </w:pPr>
            <w:r>
              <w:rPr>
                <w:rFonts w:ascii="Times New Roman" w:hAnsi="Times New Roman" w:eastAsia="宋体"/>
                <w:b w:val="0"/>
                <w:i w:val="0"/>
                <w:color w:val="595959"/>
                <w:sz w:val="19"/>
              </w:rPr>
              <w:t>risk</w:t>
            </w:r>
          </w:p>
        </w:tc>
        <w:tc>
          <w:tcPr>
            <w:tcW w:w="4706" w:type="dxa"/>
          </w:tcPr>
          <w:p w14:paraId="30DBED0B">
            <w:pPr>
              <w:spacing w:after="0" w:line="240" w:lineRule="auto"/>
            </w:pPr>
            <w:r>
              <w:rPr>
                <w:rFonts w:ascii="Times New Roman" w:hAnsi="Times New Roman" w:eastAsia="宋体"/>
                <w:b w:val="0"/>
                <w:i w:val="0"/>
                <w:color w:val="000000"/>
                <w:sz w:val="19"/>
              </w:rPr>
              <w:t>风险</w:t>
            </w:r>
          </w:p>
        </w:tc>
      </w:tr>
      <w:tr w14:paraId="25D6DD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706" w:type="dxa"/>
          </w:tcPr>
          <w:p w14:paraId="70FCF7C6">
            <w:pPr>
              <w:spacing w:after="0" w:line="240" w:lineRule="auto"/>
            </w:pPr>
            <w:r>
              <w:rPr>
                <w:rFonts w:ascii="Times New Roman" w:hAnsi="Times New Roman" w:eastAsia="宋体"/>
                <w:b w:val="0"/>
                <w:i w:val="0"/>
                <w:color w:val="595959"/>
                <w:sz w:val="19"/>
              </w:rPr>
              <w:t>★ opportunity</w:t>
            </w:r>
          </w:p>
        </w:tc>
        <w:tc>
          <w:tcPr>
            <w:tcW w:w="4706" w:type="dxa"/>
          </w:tcPr>
          <w:p w14:paraId="27D03266">
            <w:pPr>
              <w:spacing w:after="0" w:line="240" w:lineRule="auto"/>
            </w:pPr>
            <w:r>
              <w:rPr>
                <w:rFonts w:ascii="Times New Roman" w:hAnsi="Times New Roman" w:eastAsia="宋体"/>
                <w:b w:val="0"/>
                <w:i w:val="0"/>
                <w:color w:val="000000"/>
                <w:sz w:val="19"/>
              </w:rPr>
              <w:t>机遇</w:t>
            </w:r>
          </w:p>
        </w:tc>
      </w:tr>
      <w:tr w14:paraId="3160BC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706" w:type="dxa"/>
          </w:tcPr>
          <w:p w14:paraId="2AF85B7D">
            <w:pPr>
              <w:spacing w:after="0" w:line="240" w:lineRule="auto"/>
            </w:pPr>
            <w:r>
              <w:rPr>
                <w:rFonts w:ascii="Times New Roman" w:hAnsi="Times New Roman" w:eastAsia="宋体"/>
                <w:b w:val="0"/>
                <w:i w:val="0"/>
                <w:color w:val="595959"/>
                <w:sz w:val="19"/>
              </w:rPr>
              <w:t>process</w:t>
            </w:r>
          </w:p>
        </w:tc>
        <w:tc>
          <w:tcPr>
            <w:tcW w:w="4706" w:type="dxa"/>
          </w:tcPr>
          <w:p w14:paraId="3CBF66D7">
            <w:pPr>
              <w:spacing w:after="0" w:line="240" w:lineRule="auto"/>
            </w:pPr>
            <w:r>
              <w:rPr>
                <w:rFonts w:ascii="Times New Roman" w:hAnsi="Times New Roman" w:eastAsia="宋体"/>
                <w:b w:val="0"/>
                <w:i w:val="0"/>
                <w:color w:val="000000"/>
                <w:sz w:val="19"/>
              </w:rPr>
              <w:t>过程</w:t>
            </w:r>
          </w:p>
        </w:tc>
      </w:tr>
      <w:tr w14:paraId="1D5D0E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706" w:type="dxa"/>
          </w:tcPr>
          <w:p w14:paraId="50ABCB1B">
            <w:pPr>
              <w:spacing w:after="0" w:line="240" w:lineRule="auto"/>
            </w:pPr>
            <w:r>
              <w:rPr>
                <w:rFonts w:ascii="Times New Roman" w:hAnsi="Times New Roman" w:eastAsia="宋体"/>
                <w:b w:val="0"/>
                <w:i w:val="0"/>
                <w:color w:val="595959"/>
                <w:sz w:val="19"/>
              </w:rPr>
              <w:t>competence</w:t>
            </w:r>
          </w:p>
        </w:tc>
        <w:tc>
          <w:tcPr>
            <w:tcW w:w="4706" w:type="dxa"/>
          </w:tcPr>
          <w:p w14:paraId="564118B8">
            <w:pPr>
              <w:spacing w:after="0" w:line="240" w:lineRule="auto"/>
            </w:pPr>
            <w:r>
              <w:rPr>
                <w:rFonts w:ascii="Times New Roman" w:hAnsi="Times New Roman" w:eastAsia="宋体"/>
                <w:b w:val="0"/>
                <w:i w:val="0"/>
                <w:color w:val="000000"/>
                <w:sz w:val="19"/>
              </w:rPr>
              <w:t>能力</w:t>
            </w:r>
          </w:p>
        </w:tc>
      </w:tr>
      <w:tr w14:paraId="3128EE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706" w:type="dxa"/>
          </w:tcPr>
          <w:p w14:paraId="7726616B">
            <w:pPr>
              <w:spacing w:after="0" w:line="240" w:lineRule="auto"/>
            </w:pPr>
            <w:r>
              <w:rPr>
                <w:rFonts w:ascii="Times New Roman" w:hAnsi="Times New Roman" w:eastAsia="宋体"/>
                <w:b w:val="0"/>
                <w:i w:val="0"/>
                <w:color w:val="595959"/>
                <w:sz w:val="19"/>
              </w:rPr>
              <w:t>documented information</w:t>
            </w:r>
          </w:p>
        </w:tc>
        <w:tc>
          <w:tcPr>
            <w:tcW w:w="4706" w:type="dxa"/>
          </w:tcPr>
          <w:p w14:paraId="5ACEC59F">
            <w:pPr>
              <w:spacing w:after="0" w:line="240" w:lineRule="auto"/>
            </w:pPr>
            <w:r>
              <w:rPr>
                <w:rFonts w:ascii="Times New Roman" w:hAnsi="Times New Roman" w:eastAsia="宋体"/>
                <w:b w:val="0"/>
                <w:i w:val="0"/>
                <w:color w:val="000000"/>
                <w:sz w:val="19"/>
              </w:rPr>
              <w:t>成文信息</w:t>
            </w:r>
          </w:p>
        </w:tc>
      </w:tr>
      <w:tr w14:paraId="18B7DB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706" w:type="dxa"/>
          </w:tcPr>
          <w:p w14:paraId="30B72D95">
            <w:pPr>
              <w:spacing w:after="0" w:line="240" w:lineRule="auto"/>
            </w:pPr>
            <w:r>
              <w:rPr>
                <w:rFonts w:ascii="Times New Roman" w:hAnsi="Times New Roman" w:eastAsia="宋体"/>
                <w:b w:val="0"/>
                <w:i w:val="0"/>
                <w:color w:val="595959"/>
                <w:sz w:val="19"/>
              </w:rPr>
              <w:t>performance</w:t>
            </w:r>
          </w:p>
        </w:tc>
        <w:tc>
          <w:tcPr>
            <w:tcW w:w="4706" w:type="dxa"/>
          </w:tcPr>
          <w:p w14:paraId="3BD35E52">
            <w:pPr>
              <w:spacing w:after="0" w:line="240" w:lineRule="auto"/>
            </w:pPr>
            <w:r>
              <w:rPr>
                <w:rFonts w:ascii="Times New Roman" w:hAnsi="Times New Roman" w:eastAsia="宋体"/>
                <w:b w:val="0"/>
                <w:i w:val="0"/>
                <w:color w:val="000000"/>
                <w:sz w:val="19"/>
              </w:rPr>
              <w:t>绩效</w:t>
            </w:r>
          </w:p>
        </w:tc>
      </w:tr>
      <w:tr w14:paraId="51844E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706" w:type="dxa"/>
          </w:tcPr>
          <w:p w14:paraId="60365F20">
            <w:pPr>
              <w:spacing w:after="0" w:line="240" w:lineRule="auto"/>
            </w:pPr>
            <w:r>
              <w:rPr>
                <w:rFonts w:ascii="Times New Roman" w:hAnsi="Times New Roman" w:eastAsia="宋体"/>
                <w:b w:val="0"/>
                <w:i w:val="0"/>
                <w:color w:val="595959"/>
                <w:sz w:val="19"/>
              </w:rPr>
              <w:t>continual improvement</w:t>
            </w:r>
          </w:p>
        </w:tc>
        <w:tc>
          <w:tcPr>
            <w:tcW w:w="4706" w:type="dxa"/>
          </w:tcPr>
          <w:p w14:paraId="5A3EB384">
            <w:pPr>
              <w:spacing w:after="0" w:line="240" w:lineRule="auto"/>
            </w:pPr>
            <w:r>
              <w:rPr>
                <w:rFonts w:ascii="Times New Roman" w:hAnsi="Times New Roman" w:eastAsia="宋体"/>
                <w:b w:val="0"/>
                <w:i w:val="0"/>
                <w:color w:val="000000"/>
                <w:sz w:val="19"/>
              </w:rPr>
              <w:t>持续改进</w:t>
            </w:r>
          </w:p>
        </w:tc>
      </w:tr>
      <w:tr w14:paraId="540DFB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706" w:type="dxa"/>
          </w:tcPr>
          <w:p w14:paraId="643389BC">
            <w:pPr>
              <w:spacing w:after="0" w:line="240" w:lineRule="auto"/>
            </w:pPr>
            <w:r>
              <w:rPr>
                <w:rFonts w:ascii="Times New Roman" w:hAnsi="Times New Roman" w:eastAsia="宋体"/>
                <w:b w:val="0"/>
                <w:i w:val="0"/>
                <w:color w:val="595959"/>
                <w:sz w:val="19"/>
              </w:rPr>
              <w:t>effectiveness</w:t>
            </w:r>
          </w:p>
        </w:tc>
        <w:tc>
          <w:tcPr>
            <w:tcW w:w="4706" w:type="dxa"/>
          </w:tcPr>
          <w:p w14:paraId="6E295AF3">
            <w:pPr>
              <w:spacing w:after="0" w:line="240" w:lineRule="auto"/>
            </w:pPr>
            <w:r>
              <w:rPr>
                <w:rFonts w:ascii="Times New Roman" w:hAnsi="Times New Roman" w:eastAsia="宋体"/>
                <w:b w:val="0"/>
                <w:i w:val="0"/>
                <w:color w:val="000000"/>
                <w:sz w:val="19"/>
              </w:rPr>
              <w:t>有效性</w:t>
            </w:r>
          </w:p>
        </w:tc>
      </w:tr>
      <w:tr w14:paraId="79379B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706" w:type="dxa"/>
          </w:tcPr>
          <w:p w14:paraId="54F60E8D">
            <w:pPr>
              <w:spacing w:after="0" w:line="240" w:lineRule="auto"/>
            </w:pPr>
            <w:r>
              <w:rPr>
                <w:rFonts w:ascii="Times New Roman" w:hAnsi="Times New Roman" w:eastAsia="宋体"/>
                <w:b w:val="0"/>
                <w:i w:val="0"/>
                <w:color w:val="595959"/>
                <w:sz w:val="19"/>
              </w:rPr>
              <w:t>requirement</w:t>
            </w:r>
          </w:p>
        </w:tc>
        <w:tc>
          <w:tcPr>
            <w:tcW w:w="4706" w:type="dxa"/>
          </w:tcPr>
          <w:p w14:paraId="7C43FB57">
            <w:pPr>
              <w:spacing w:after="0" w:line="240" w:lineRule="auto"/>
            </w:pPr>
            <w:r>
              <w:rPr>
                <w:rFonts w:ascii="Times New Roman" w:hAnsi="Times New Roman" w:eastAsia="宋体"/>
                <w:b w:val="0"/>
                <w:i w:val="0"/>
                <w:color w:val="000000"/>
                <w:sz w:val="19"/>
              </w:rPr>
              <w:t>要求</w:t>
            </w:r>
          </w:p>
        </w:tc>
      </w:tr>
      <w:tr w14:paraId="192F39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706" w:type="dxa"/>
          </w:tcPr>
          <w:p w14:paraId="1A37D80E">
            <w:pPr>
              <w:spacing w:after="0" w:line="240" w:lineRule="auto"/>
            </w:pPr>
            <w:r>
              <w:rPr>
                <w:rFonts w:ascii="Times New Roman" w:hAnsi="Times New Roman" w:eastAsia="宋体"/>
                <w:b w:val="0"/>
                <w:i w:val="0"/>
                <w:color w:val="595959"/>
                <w:sz w:val="19"/>
              </w:rPr>
              <w:t>conformity</w:t>
            </w:r>
          </w:p>
        </w:tc>
        <w:tc>
          <w:tcPr>
            <w:tcW w:w="4706" w:type="dxa"/>
          </w:tcPr>
          <w:p w14:paraId="310251E0">
            <w:pPr>
              <w:spacing w:after="0" w:line="240" w:lineRule="auto"/>
            </w:pPr>
            <w:r>
              <w:rPr>
                <w:rFonts w:ascii="Times New Roman" w:hAnsi="Times New Roman" w:eastAsia="宋体"/>
                <w:b w:val="0"/>
                <w:i w:val="0"/>
                <w:color w:val="000000"/>
                <w:sz w:val="19"/>
              </w:rPr>
              <w:t>合格（符合）</w:t>
            </w:r>
          </w:p>
        </w:tc>
      </w:tr>
      <w:tr w14:paraId="0DA9B7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706" w:type="dxa"/>
          </w:tcPr>
          <w:p w14:paraId="41D5B41A">
            <w:pPr>
              <w:spacing w:after="0" w:line="240" w:lineRule="auto"/>
            </w:pPr>
            <w:r>
              <w:rPr>
                <w:rFonts w:ascii="Times New Roman" w:hAnsi="Times New Roman" w:eastAsia="宋体"/>
                <w:b w:val="0"/>
                <w:i w:val="0"/>
                <w:color w:val="595959"/>
                <w:sz w:val="19"/>
              </w:rPr>
              <w:t>nonconformity</w:t>
            </w:r>
          </w:p>
        </w:tc>
        <w:tc>
          <w:tcPr>
            <w:tcW w:w="4706" w:type="dxa"/>
          </w:tcPr>
          <w:p w14:paraId="34573CB9">
            <w:pPr>
              <w:spacing w:after="0" w:line="240" w:lineRule="auto"/>
            </w:pPr>
            <w:r>
              <w:rPr>
                <w:rFonts w:ascii="Times New Roman" w:hAnsi="Times New Roman" w:eastAsia="宋体"/>
                <w:b w:val="0"/>
                <w:i w:val="0"/>
                <w:color w:val="000000"/>
                <w:sz w:val="19"/>
              </w:rPr>
              <w:t>不合格（不符合）</w:t>
            </w:r>
          </w:p>
        </w:tc>
      </w:tr>
      <w:tr w14:paraId="4C64EB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706" w:type="dxa"/>
          </w:tcPr>
          <w:p w14:paraId="15C987F6">
            <w:pPr>
              <w:spacing w:after="0" w:line="240" w:lineRule="auto"/>
            </w:pPr>
            <w:r>
              <w:rPr>
                <w:rFonts w:ascii="Times New Roman" w:hAnsi="Times New Roman" w:eastAsia="宋体"/>
                <w:b w:val="0"/>
                <w:i w:val="0"/>
                <w:color w:val="595959"/>
                <w:sz w:val="19"/>
              </w:rPr>
              <w:t>corrective action</w:t>
            </w:r>
          </w:p>
        </w:tc>
        <w:tc>
          <w:tcPr>
            <w:tcW w:w="4706" w:type="dxa"/>
          </w:tcPr>
          <w:p w14:paraId="1B224BA7">
            <w:pPr>
              <w:spacing w:after="0" w:line="240" w:lineRule="auto"/>
            </w:pPr>
            <w:r>
              <w:rPr>
                <w:rFonts w:ascii="Times New Roman" w:hAnsi="Times New Roman" w:eastAsia="宋体"/>
                <w:b w:val="0"/>
                <w:i w:val="0"/>
                <w:color w:val="000000"/>
                <w:sz w:val="19"/>
              </w:rPr>
              <w:t>纠正措施</w:t>
            </w:r>
          </w:p>
        </w:tc>
      </w:tr>
      <w:tr w14:paraId="2A740A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706" w:type="dxa"/>
          </w:tcPr>
          <w:p w14:paraId="766CF544">
            <w:pPr>
              <w:spacing w:after="0" w:line="240" w:lineRule="auto"/>
            </w:pPr>
            <w:r>
              <w:rPr>
                <w:rFonts w:ascii="Times New Roman" w:hAnsi="Times New Roman" w:eastAsia="宋体"/>
                <w:b w:val="0"/>
                <w:i w:val="0"/>
                <w:color w:val="595959"/>
                <w:sz w:val="19"/>
              </w:rPr>
              <w:t>audit</w:t>
            </w:r>
          </w:p>
        </w:tc>
        <w:tc>
          <w:tcPr>
            <w:tcW w:w="4706" w:type="dxa"/>
          </w:tcPr>
          <w:p w14:paraId="4FAB824F">
            <w:pPr>
              <w:spacing w:after="0" w:line="240" w:lineRule="auto"/>
            </w:pPr>
            <w:r>
              <w:rPr>
                <w:rFonts w:ascii="Times New Roman" w:hAnsi="Times New Roman" w:eastAsia="宋体"/>
                <w:b w:val="0"/>
                <w:i w:val="0"/>
                <w:color w:val="000000"/>
                <w:sz w:val="19"/>
              </w:rPr>
              <w:t>审核</w:t>
            </w:r>
          </w:p>
        </w:tc>
      </w:tr>
      <w:tr w14:paraId="1752E1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706" w:type="dxa"/>
          </w:tcPr>
          <w:p w14:paraId="6832E64E">
            <w:pPr>
              <w:spacing w:after="0" w:line="240" w:lineRule="auto"/>
            </w:pPr>
            <w:r>
              <w:rPr>
                <w:rFonts w:ascii="Times New Roman" w:hAnsi="Times New Roman" w:eastAsia="宋体"/>
                <w:b w:val="0"/>
                <w:i w:val="0"/>
                <w:color w:val="595959"/>
                <w:sz w:val="19"/>
              </w:rPr>
              <w:t>measurement</w:t>
            </w:r>
          </w:p>
        </w:tc>
        <w:tc>
          <w:tcPr>
            <w:tcW w:w="4706" w:type="dxa"/>
          </w:tcPr>
          <w:p w14:paraId="4CFABF24">
            <w:pPr>
              <w:spacing w:after="0" w:line="240" w:lineRule="auto"/>
            </w:pPr>
            <w:r>
              <w:rPr>
                <w:rFonts w:ascii="Times New Roman" w:hAnsi="Times New Roman" w:eastAsia="宋体"/>
                <w:b w:val="0"/>
                <w:i w:val="0"/>
                <w:color w:val="000000"/>
                <w:sz w:val="19"/>
              </w:rPr>
              <w:t>测量</w:t>
            </w:r>
          </w:p>
        </w:tc>
      </w:tr>
      <w:tr w14:paraId="19E8B1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706" w:type="dxa"/>
          </w:tcPr>
          <w:p w14:paraId="3B84B3EC">
            <w:pPr>
              <w:spacing w:after="0" w:line="240" w:lineRule="auto"/>
            </w:pPr>
            <w:r>
              <w:rPr>
                <w:rFonts w:ascii="Times New Roman" w:hAnsi="Times New Roman" w:eastAsia="宋体"/>
                <w:b w:val="0"/>
                <w:i w:val="0"/>
                <w:color w:val="595959"/>
                <w:sz w:val="19"/>
              </w:rPr>
              <w:t>monitoring</w:t>
            </w:r>
          </w:p>
        </w:tc>
        <w:tc>
          <w:tcPr>
            <w:tcW w:w="4706" w:type="dxa"/>
          </w:tcPr>
          <w:p w14:paraId="6A0C7C4A">
            <w:pPr>
              <w:spacing w:after="0" w:line="240" w:lineRule="auto"/>
            </w:pPr>
            <w:r>
              <w:rPr>
                <w:rFonts w:ascii="Times New Roman" w:hAnsi="Times New Roman" w:eastAsia="宋体"/>
                <w:b w:val="0"/>
                <w:i w:val="0"/>
                <w:color w:val="000000"/>
                <w:sz w:val="19"/>
              </w:rPr>
              <w:t>监视</w:t>
            </w:r>
          </w:p>
        </w:tc>
      </w:tr>
      <w:tr w14:paraId="3E144B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706" w:type="dxa"/>
          </w:tcPr>
          <w:p w14:paraId="372E4F2A">
            <w:pPr>
              <w:spacing w:after="0" w:line="240" w:lineRule="auto"/>
            </w:pPr>
            <w:r>
              <w:rPr>
                <w:rFonts w:ascii="Times New Roman" w:hAnsi="Times New Roman" w:eastAsia="宋体"/>
                <w:b w:val="0"/>
                <w:i w:val="0"/>
                <w:color w:val="595959"/>
                <w:sz w:val="19"/>
              </w:rPr>
              <w:t>★ quality culture</w:t>
            </w:r>
          </w:p>
        </w:tc>
        <w:tc>
          <w:tcPr>
            <w:tcW w:w="4706" w:type="dxa"/>
          </w:tcPr>
          <w:p w14:paraId="78AA558F">
            <w:pPr>
              <w:spacing w:after="0" w:line="240" w:lineRule="auto"/>
            </w:pPr>
            <w:r>
              <w:rPr>
                <w:rFonts w:ascii="Times New Roman" w:hAnsi="Times New Roman" w:eastAsia="宋体"/>
                <w:b/>
                <w:i w:val="0"/>
                <w:color w:val="000000"/>
                <w:sz w:val="19"/>
              </w:rPr>
              <w:t>质量文化</w:t>
            </w:r>
          </w:p>
        </w:tc>
      </w:tr>
      <w:tr w14:paraId="522212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706" w:type="dxa"/>
          </w:tcPr>
          <w:p w14:paraId="5BCDEFC5">
            <w:pPr>
              <w:spacing w:after="0" w:line="240" w:lineRule="auto"/>
            </w:pPr>
            <w:r>
              <w:rPr>
                <w:rFonts w:ascii="Times New Roman" w:hAnsi="Times New Roman" w:eastAsia="宋体"/>
                <w:b w:val="0"/>
                <w:i w:val="0"/>
                <w:color w:val="595959"/>
                <w:sz w:val="19"/>
              </w:rPr>
              <w:t>★ ethical behaviour</w:t>
            </w:r>
          </w:p>
        </w:tc>
        <w:tc>
          <w:tcPr>
            <w:tcW w:w="4706" w:type="dxa"/>
          </w:tcPr>
          <w:p w14:paraId="27096081">
            <w:pPr>
              <w:spacing w:after="0" w:line="240" w:lineRule="auto"/>
            </w:pPr>
            <w:r>
              <w:rPr>
                <w:rFonts w:ascii="Times New Roman" w:hAnsi="Times New Roman" w:eastAsia="宋体"/>
                <w:b/>
                <w:i w:val="0"/>
                <w:color w:val="000000"/>
                <w:sz w:val="19"/>
              </w:rPr>
              <w:t>道德行为</w:t>
            </w:r>
          </w:p>
        </w:tc>
      </w:tr>
      <w:tr w14:paraId="13D023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706" w:type="dxa"/>
          </w:tcPr>
          <w:p w14:paraId="2B8AF8FF">
            <w:pPr>
              <w:spacing w:after="0" w:line="240" w:lineRule="auto"/>
            </w:pPr>
            <w:r>
              <w:rPr>
                <w:rFonts w:ascii="Times New Roman" w:hAnsi="Times New Roman" w:eastAsia="宋体"/>
                <w:b w:val="0"/>
                <w:i w:val="0"/>
                <w:color w:val="595959"/>
                <w:sz w:val="19"/>
              </w:rPr>
              <w:t>★ opportunity-based thinking</w:t>
            </w:r>
          </w:p>
        </w:tc>
        <w:tc>
          <w:tcPr>
            <w:tcW w:w="4706" w:type="dxa"/>
          </w:tcPr>
          <w:p w14:paraId="013146FE">
            <w:pPr>
              <w:spacing w:after="0" w:line="240" w:lineRule="auto"/>
            </w:pPr>
            <w:r>
              <w:rPr>
                <w:rFonts w:ascii="Times New Roman" w:hAnsi="Times New Roman" w:eastAsia="宋体"/>
                <w:b/>
                <w:i w:val="0"/>
                <w:color w:val="000000"/>
                <w:sz w:val="19"/>
              </w:rPr>
              <w:t>基于机遇的思维</w:t>
            </w:r>
          </w:p>
        </w:tc>
      </w:tr>
      <w:tr w14:paraId="3F4C6D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706" w:type="dxa"/>
          </w:tcPr>
          <w:p w14:paraId="64955E53">
            <w:pPr>
              <w:spacing w:after="0" w:line="240" w:lineRule="auto"/>
            </w:pPr>
            <w:r>
              <w:rPr>
                <w:rFonts w:ascii="Times New Roman" w:hAnsi="Times New Roman" w:eastAsia="宋体"/>
                <w:b w:val="0"/>
                <w:i w:val="0"/>
                <w:color w:val="595959"/>
                <w:sz w:val="19"/>
              </w:rPr>
              <w:t>★ risk-based thinking</w:t>
            </w:r>
          </w:p>
        </w:tc>
        <w:tc>
          <w:tcPr>
            <w:tcW w:w="4706" w:type="dxa"/>
          </w:tcPr>
          <w:p w14:paraId="00C5962B">
            <w:pPr>
              <w:spacing w:after="0" w:line="240" w:lineRule="auto"/>
            </w:pPr>
            <w:r>
              <w:rPr>
                <w:rFonts w:ascii="Times New Roman" w:hAnsi="Times New Roman" w:eastAsia="宋体"/>
                <w:b w:val="0"/>
                <w:i w:val="0"/>
                <w:color w:val="000000"/>
                <w:sz w:val="19"/>
              </w:rPr>
              <w:t>基于风险的思维</w:t>
            </w:r>
          </w:p>
        </w:tc>
      </w:tr>
      <w:tr w14:paraId="4AA83F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706" w:type="dxa"/>
          </w:tcPr>
          <w:p w14:paraId="4A2C70EF">
            <w:pPr>
              <w:spacing w:after="0" w:line="240" w:lineRule="auto"/>
            </w:pPr>
            <w:r>
              <w:rPr>
                <w:rFonts w:ascii="Times New Roman" w:hAnsi="Times New Roman" w:eastAsia="宋体"/>
                <w:b w:val="0"/>
                <w:i w:val="0"/>
                <w:color w:val="595959"/>
                <w:sz w:val="19"/>
              </w:rPr>
              <w:t>★ disruption / disruptive occurrence</w:t>
            </w:r>
          </w:p>
        </w:tc>
        <w:tc>
          <w:tcPr>
            <w:tcW w:w="4706" w:type="dxa"/>
          </w:tcPr>
          <w:p w14:paraId="49FBDBDF">
            <w:pPr>
              <w:spacing w:after="0" w:line="240" w:lineRule="auto"/>
            </w:pPr>
            <w:r>
              <w:rPr>
                <w:rFonts w:ascii="Times New Roman" w:hAnsi="Times New Roman" w:eastAsia="宋体"/>
                <w:b w:val="0"/>
                <w:i w:val="0"/>
                <w:color w:val="000000"/>
                <w:sz w:val="19"/>
              </w:rPr>
              <w:t>中断／中断性事件</w:t>
            </w:r>
          </w:p>
        </w:tc>
      </w:tr>
      <w:tr w14:paraId="78A02B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706" w:type="dxa"/>
          </w:tcPr>
          <w:p w14:paraId="01C9B473">
            <w:pPr>
              <w:spacing w:after="0" w:line="240" w:lineRule="auto"/>
            </w:pPr>
            <w:r>
              <w:rPr>
                <w:rFonts w:ascii="Times New Roman" w:hAnsi="Times New Roman" w:eastAsia="宋体"/>
                <w:b w:val="0"/>
                <w:i w:val="0"/>
                <w:color w:val="595959"/>
                <w:sz w:val="19"/>
              </w:rPr>
              <w:t>★ contingency actions</w:t>
            </w:r>
          </w:p>
        </w:tc>
        <w:tc>
          <w:tcPr>
            <w:tcW w:w="4706" w:type="dxa"/>
          </w:tcPr>
          <w:p w14:paraId="410CA10D">
            <w:pPr>
              <w:spacing w:after="0" w:line="240" w:lineRule="auto"/>
            </w:pPr>
            <w:r>
              <w:rPr>
                <w:rFonts w:ascii="Times New Roman" w:hAnsi="Times New Roman" w:eastAsia="宋体"/>
                <w:b w:val="0"/>
                <w:i w:val="0"/>
                <w:color w:val="000000"/>
                <w:sz w:val="19"/>
              </w:rPr>
              <w:t>应急措施</w:t>
            </w:r>
          </w:p>
        </w:tc>
      </w:tr>
      <w:tr w14:paraId="75F11B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706" w:type="dxa"/>
          </w:tcPr>
          <w:p w14:paraId="523DC034">
            <w:pPr>
              <w:spacing w:after="0" w:line="240" w:lineRule="auto"/>
            </w:pPr>
            <w:r>
              <w:rPr>
                <w:rFonts w:ascii="Times New Roman" w:hAnsi="Times New Roman" w:eastAsia="宋体"/>
                <w:b w:val="0"/>
                <w:i w:val="0"/>
                <w:color w:val="595959"/>
                <w:sz w:val="19"/>
              </w:rPr>
              <w:t>context of the organization</w:t>
            </w:r>
          </w:p>
        </w:tc>
        <w:tc>
          <w:tcPr>
            <w:tcW w:w="4706" w:type="dxa"/>
          </w:tcPr>
          <w:p w14:paraId="25F287C9">
            <w:pPr>
              <w:spacing w:after="0" w:line="240" w:lineRule="auto"/>
            </w:pPr>
            <w:r>
              <w:rPr>
                <w:rFonts w:ascii="Times New Roman" w:hAnsi="Times New Roman" w:eastAsia="宋体"/>
                <w:b w:val="0"/>
                <w:i w:val="0"/>
                <w:color w:val="000000"/>
                <w:sz w:val="19"/>
              </w:rPr>
              <w:t>组织环境</w:t>
            </w:r>
          </w:p>
        </w:tc>
      </w:tr>
      <w:tr w14:paraId="64002A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706" w:type="dxa"/>
          </w:tcPr>
          <w:p w14:paraId="1C2C2AB5">
            <w:pPr>
              <w:spacing w:after="0" w:line="240" w:lineRule="auto"/>
            </w:pPr>
            <w:r>
              <w:rPr>
                <w:rFonts w:ascii="Times New Roman" w:hAnsi="Times New Roman" w:eastAsia="宋体"/>
                <w:b w:val="0"/>
                <w:i w:val="0"/>
                <w:color w:val="595959"/>
                <w:sz w:val="19"/>
              </w:rPr>
              <w:t>scope</w:t>
            </w:r>
          </w:p>
        </w:tc>
        <w:tc>
          <w:tcPr>
            <w:tcW w:w="4706" w:type="dxa"/>
          </w:tcPr>
          <w:p w14:paraId="4DF51CB5">
            <w:pPr>
              <w:spacing w:after="0" w:line="240" w:lineRule="auto"/>
            </w:pPr>
            <w:r>
              <w:rPr>
                <w:rFonts w:ascii="Times New Roman" w:hAnsi="Times New Roman" w:eastAsia="宋体"/>
                <w:b w:val="0"/>
                <w:i w:val="0"/>
                <w:color w:val="000000"/>
                <w:sz w:val="19"/>
              </w:rPr>
              <w:t>范围</w:t>
            </w:r>
          </w:p>
        </w:tc>
      </w:tr>
      <w:tr w14:paraId="7EA824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706" w:type="dxa"/>
          </w:tcPr>
          <w:p w14:paraId="65D35497">
            <w:pPr>
              <w:spacing w:after="0" w:line="240" w:lineRule="auto"/>
            </w:pPr>
            <w:r>
              <w:rPr>
                <w:rFonts w:ascii="Times New Roman" w:hAnsi="Times New Roman" w:eastAsia="宋体"/>
                <w:b w:val="0"/>
                <w:i w:val="0"/>
                <w:color w:val="595959"/>
                <w:sz w:val="19"/>
              </w:rPr>
              <w:t>external provider</w:t>
            </w:r>
          </w:p>
        </w:tc>
        <w:tc>
          <w:tcPr>
            <w:tcW w:w="4706" w:type="dxa"/>
          </w:tcPr>
          <w:p w14:paraId="2EDCCD65">
            <w:pPr>
              <w:spacing w:after="0" w:line="240" w:lineRule="auto"/>
            </w:pPr>
            <w:r>
              <w:rPr>
                <w:rFonts w:ascii="Times New Roman" w:hAnsi="Times New Roman" w:eastAsia="宋体"/>
                <w:b w:val="0"/>
                <w:i w:val="0"/>
                <w:color w:val="000000"/>
                <w:sz w:val="19"/>
              </w:rPr>
              <w:t>外部供方</w:t>
            </w:r>
          </w:p>
        </w:tc>
      </w:tr>
      <w:tr w14:paraId="203C49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706" w:type="dxa"/>
          </w:tcPr>
          <w:p w14:paraId="3BA51EB0">
            <w:pPr>
              <w:spacing w:after="0" w:line="240" w:lineRule="auto"/>
            </w:pPr>
            <w:r>
              <w:rPr>
                <w:rFonts w:ascii="Times New Roman" w:hAnsi="Times New Roman" w:eastAsia="宋体"/>
                <w:b w:val="0"/>
                <w:i w:val="0"/>
                <w:color w:val="595959"/>
                <w:sz w:val="19"/>
              </w:rPr>
              <w:t>design and development</w:t>
            </w:r>
          </w:p>
        </w:tc>
        <w:tc>
          <w:tcPr>
            <w:tcW w:w="4706" w:type="dxa"/>
          </w:tcPr>
          <w:p w14:paraId="3321CFF4">
            <w:pPr>
              <w:spacing w:after="0" w:line="240" w:lineRule="auto"/>
            </w:pPr>
            <w:r>
              <w:rPr>
                <w:rFonts w:ascii="Times New Roman" w:hAnsi="Times New Roman" w:eastAsia="宋体"/>
                <w:b w:val="0"/>
                <w:i w:val="0"/>
                <w:color w:val="000000"/>
                <w:sz w:val="19"/>
              </w:rPr>
              <w:t>设计和开发</w:t>
            </w:r>
          </w:p>
        </w:tc>
      </w:tr>
      <w:tr w14:paraId="0AC786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706" w:type="dxa"/>
          </w:tcPr>
          <w:p w14:paraId="03027C81">
            <w:pPr>
              <w:spacing w:after="0" w:line="240" w:lineRule="auto"/>
            </w:pPr>
            <w:r>
              <w:rPr>
                <w:rFonts w:ascii="Times New Roman" w:hAnsi="Times New Roman" w:eastAsia="宋体"/>
                <w:b w:val="0"/>
                <w:i w:val="0"/>
                <w:color w:val="595959"/>
                <w:sz w:val="19"/>
              </w:rPr>
              <w:t>release</w:t>
            </w:r>
          </w:p>
        </w:tc>
        <w:tc>
          <w:tcPr>
            <w:tcW w:w="4706" w:type="dxa"/>
          </w:tcPr>
          <w:p w14:paraId="5784D171">
            <w:pPr>
              <w:spacing w:after="0" w:line="240" w:lineRule="auto"/>
            </w:pPr>
            <w:r>
              <w:rPr>
                <w:rFonts w:ascii="Times New Roman" w:hAnsi="Times New Roman" w:eastAsia="宋体"/>
                <w:b w:val="0"/>
                <w:i w:val="0"/>
                <w:color w:val="000000"/>
                <w:sz w:val="19"/>
              </w:rPr>
              <w:t>放行</w:t>
            </w:r>
          </w:p>
        </w:tc>
      </w:tr>
      <w:tr w14:paraId="209334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706" w:type="dxa"/>
          </w:tcPr>
          <w:p w14:paraId="5158C610">
            <w:pPr>
              <w:spacing w:after="0" w:line="240" w:lineRule="auto"/>
            </w:pPr>
            <w:r>
              <w:rPr>
                <w:rFonts w:ascii="Times New Roman" w:hAnsi="Times New Roman" w:eastAsia="宋体"/>
                <w:b w:val="0"/>
                <w:i w:val="0"/>
                <w:color w:val="595959"/>
                <w:sz w:val="19"/>
              </w:rPr>
              <w:t>nonconforming outputs</w:t>
            </w:r>
          </w:p>
        </w:tc>
        <w:tc>
          <w:tcPr>
            <w:tcW w:w="4706" w:type="dxa"/>
          </w:tcPr>
          <w:p w14:paraId="6D0CDFEC">
            <w:pPr>
              <w:spacing w:after="0" w:line="240" w:lineRule="auto"/>
            </w:pPr>
            <w:r>
              <w:rPr>
                <w:rFonts w:ascii="Times New Roman" w:hAnsi="Times New Roman" w:eastAsia="宋体"/>
                <w:b w:val="0"/>
                <w:i w:val="0"/>
                <w:color w:val="000000"/>
                <w:sz w:val="19"/>
              </w:rPr>
              <w:t>不合格输出</w:t>
            </w:r>
          </w:p>
        </w:tc>
      </w:tr>
      <w:tr w14:paraId="345DD5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706" w:type="dxa"/>
          </w:tcPr>
          <w:p w14:paraId="4F525ADD">
            <w:pPr>
              <w:spacing w:after="0" w:line="240" w:lineRule="auto"/>
            </w:pPr>
            <w:r>
              <w:rPr>
                <w:rFonts w:ascii="Times New Roman" w:hAnsi="Times New Roman" w:eastAsia="宋体"/>
                <w:b w:val="0"/>
                <w:i w:val="0"/>
                <w:color w:val="595959"/>
                <w:sz w:val="19"/>
              </w:rPr>
              <w:t>traceability</w:t>
            </w:r>
          </w:p>
        </w:tc>
        <w:tc>
          <w:tcPr>
            <w:tcW w:w="4706" w:type="dxa"/>
          </w:tcPr>
          <w:p w14:paraId="600E829B">
            <w:pPr>
              <w:spacing w:after="0" w:line="240" w:lineRule="auto"/>
            </w:pPr>
            <w:r>
              <w:rPr>
                <w:rFonts w:ascii="Times New Roman" w:hAnsi="Times New Roman" w:eastAsia="宋体"/>
                <w:b w:val="0"/>
                <w:i w:val="0"/>
                <w:color w:val="000000"/>
                <w:sz w:val="19"/>
              </w:rPr>
              <w:t>可追溯性</w:t>
            </w:r>
          </w:p>
        </w:tc>
      </w:tr>
      <w:tr w14:paraId="2E7824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706" w:type="dxa"/>
          </w:tcPr>
          <w:p w14:paraId="1E955A1D">
            <w:pPr>
              <w:spacing w:after="0" w:line="240" w:lineRule="auto"/>
            </w:pPr>
            <w:r>
              <w:rPr>
                <w:rFonts w:ascii="Times New Roman" w:hAnsi="Times New Roman" w:eastAsia="宋体"/>
                <w:b w:val="0"/>
                <w:i w:val="0"/>
                <w:color w:val="595959"/>
                <w:sz w:val="19"/>
              </w:rPr>
              <w:t>management review</w:t>
            </w:r>
          </w:p>
        </w:tc>
        <w:tc>
          <w:tcPr>
            <w:tcW w:w="4706" w:type="dxa"/>
          </w:tcPr>
          <w:p w14:paraId="379F65DE">
            <w:pPr>
              <w:spacing w:after="0" w:line="240" w:lineRule="auto"/>
            </w:pPr>
            <w:r>
              <w:rPr>
                <w:rFonts w:ascii="Times New Roman" w:hAnsi="Times New Roman" w:eastAsia="宋体"/>
                <w:b w:val="0"/>
                <w:i w:val="0"/>
                <w:color w:val="000000"/>
                <w:sz w:val="19"/>
              </w:rPr>
              <w:t>管理评审</w:t>
            </w:r>
          </w:p>
        </w:tc>
      </w:tr>
      <w:tr w14:paraId="4A7574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706" w:type="dxa"/>
          </w:tcPr>
          <w:p w14:paraId="46412ECC">
            <w:pPr>
              <w:spacing w:after="0" w:line="240" w:lineRule="auto"/>
            </w:pPr>
            <w:r>
              <w:rPr>
                <w:rFonts w:ascii="Times New Roman" w:hAnsi="Times New Roman" w:eastAsia="宋体"/>
                <w:b w:val="0"/>
                <w:i w:val="0"/>
                <w:color w:val="595959"/>
                <w:sz w:val="19"/>
              </w:rPr>
              <w:t>internal audit programme</w:t>
            </w:r>
          </w:p>
        </w:tc>
        <w:tc>
          <w:tcPr>
            <w:tcW w:w="4706" w:type="dxa"/>
          </w:tcPr>
          <w:p w14:paraId="6CA12F0A">
            <w:pPr>
              <w:spacing w:after="0" w:line="240" w:lineRule="auto"/>
            </w:pPr>
            <w:r>
              <w:rPr>
                <w:rFonts w:ascii="Times New Roman" w:hAnsi="Times New Roman" w:eastAsia="宋体"/>
                <w:b w:val="0"/>
                <w:i w:val="0"/>
                <w:color w:val="000000"/>
                <w:sz w:val="19"/>
              </w:rPr>
              <w:t>内部审核方案</w:t>
            </w:r>
          </w:p>
        </w:tc>
      </w:tr>
      <w:tr w14:paraId="1B4E58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706" w:type="dxa"/>
          </w:tcPr>
          <w:p w14:paraId="41ACA6B9">
            <w:pPr>
              <w:spacing w:after="0" w:line="240" w:lineRule="auto"/>
            </w:pPr>
            <w:r>
              <w:rPr>
                <w:rFonts w:ascii="Times New Roman" w:hAnsi="Times New Roman" w:eastAsia="宋体"/>
                <w:b w:val="0"/>
                <w:i w:val="0"/>
                <w:color w:val="595959"/>
                <w:sz w:val="19"/>
              </w:rPr>
              <w:t>climate change</w:t>
            </w:r>
          </w:p>
        </w:tc>
        <w:tc>
          <w:tcPr>
            <w:tcW w:w="4706" w:type="dxa"/>
          </w:tcPr>
          <w:p w14:paraId="482701A9">
            <w:pPr>
              <w:spacing w:after="0" w:line="240" w:lineRule="auto"/>
            </w:pPr>
            <w:r>
              <w:rPr>
                <w:rFonts w:ascii="Times New Roman" w:hAnsi="Times New Roman" w:eastAsia="宋体"/>
                <w:b w:val="0"/>
                <w:i w:val="0"/>
                <w:color w:val="000000"/>
                <w:sz w:val="19"/>
              </w:rPr>
              <w:t>气候变化</w:t>
            </w:r>
          </w:p>
        </w:tc>
      </w:tr>
      <w:tr w14:paraId="0BB4EE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706" w:type="dxa"/>
          </w:tcPr>
          <w:p w14:paraId="34115E4E">
            <w:pPr>
              <w:spacing w:after="0" w:line="240" w:lineRule="auto"/>
            </w:pPr>
            <w:r>
              <w:rPr>
                <w:rFonts w:ascii="Times New Roman" w:hAnsi="Times New Roman" w:eastAsia="宋体"/>
                <w:b w:val="0"/>
                <w:i w:val="0"/>
                <w:color w:val="595959"/>
                <w:sz w:val="19"/>
              </w:rPr>
              <w:t>statutory and regulatory requirements</w:t>
            </w:r>
          </w:p>
        </w:tc>
        <w:tc>
          <w:tcPr>
            <w:tcW w:w="4706" w:type="dxa"/>
          </w:tcPr>
          <w:p w14:paraId="341FD01D">
            <w:pPr>
              <w:spacing w:after="0" w:line="240" w:lineRule="auto"/>
            </w:pPr>
            <w:r>
              <w:rPr>
                <w:rFonts w:ascii="Times New Roman" w:hAnsi="Times New Roman" w:eastAsia="宋体"/>
                <w:b w:val="0"/>
                <w:i w:val="0"/>
                <w:color w:val="000000"/>
                <w:sz w:val="19"/>
              </w:rPr>
              <w:t>法律法规要求</w:t>
            </w:r>
          </w:p>
        </w:tc>
      </w:tr>
      <w:tr w14:paraId="3AAB3F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706" w:type="dxa"/>
          </w:tcPr>
          <w:p w14:paraId="762DCAA0">
            <w:pPr>
              <w:spacing w:after="0" w:line="240" w:lineRule="auto"/>
            </w:pPr>
            <w:r>
              <w:rPr>
                <w:rFonts w:ascii="Times New Roman" w:hAnsi="Times New Roman" w:eastAsia="宋体"/>
                <w:b w:val="0"/>
                <w:i w:val="0"/>
                <w:color w:val="595959"/>
                <w:sz w:val="19"/>
              </w:rPr>
              <w:t>infrastructure</w:t>
            </w:r>
          </w:p>
        </w:tc>
        <w:tc>
          <w:tcPr>
            <w:tcW w:w="4706" w:type="dxa"/>
          </w:tcPr>
          <w:p w14:paraId="271FCC61">
            <w:pPr>
              <w:spacing w:after="0" w:line="240" w:lineRule="auto"/>
            </w:pPr>
            <w:r>
              <w:rPr>
                <w:rFonts w:ascii="Times New Roman" w:hAnsi="Times New Roman" w:eastAsia="宋体"/>
                <w:b w:val="0"/>
                <w:i w:val="0"/>
                <w:color w:val="000000"/>
                <w:sz w:val="19"/>
              </w:rPr>
              <w:t>基础设施</w:t>
            </w:r>
          </w:p>
        </w:tc>
      </w:tr>
      <w:tr w14:paraId="6C8F15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706" w:type="dxa"/>
          </w:tcPr>
          <w:p w14:paraId="0EF8E434">
            <w:pPr>
              <w:spacing w:after="0" w:line="240" w:lineRule="auto"/>
            </w:pPr>
            <w:r>
              <w:rPr>
                <w:rFonts w:ascii="Times New Roman" w:hAnsi="Times New Roman" w:eastAsia="宋体"/>
                <w:b w:val="0"/>
                <w:i w:val="0"/>
                <w:color w:val="595959"/>
                <w:sz w:val="19"/>
              </w:rPr>
              <w:t>organizational knowledge</w:t>
            </w:r>
          </w:p>
        </w:tc>
        <w:tc>
          <w:tcPr>
            <w:tcW w:w="4706" w:type="dxa"/>
          </w:tcPr>
          <w:p w14:paraId="6BC38D9B">
            <w:pPr>
              <w:spacing w:after="0" w:line="240" w:lineRule="auto"/>
            </w:pPr>
            <w:r>
              <w:rPr>
                <w:rFonts w:ascii="Times New Roman" w:hAnsi="Times New Roman" w:eastAsia="宋体"/>
                <w:b w:val="0"/>
                <w:i w:val="0"/>
                <w:color w:val="000000"/>
                <w:sz w:val="19"/>
              </w:rPr>
              <w:t>组织的知识</w:t>
            </w:r>
          </w:p>
        </w:tc>
      </w:tr>
      <w:tr w14:paraId="1846F5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706" w:type="dxa"/>
          </w:tcPr>
          <w:p w14:paraId="343AEEDF">
            <w:pPr>
              <w:spacing w:after="0" w:line="240" w:lineRule="auto"/>
            </w:pPr>
            <w:r>
              <w:rPr>
                <w:rFonts w:ascii="Times New Roman" w:hAnsi="Times New Roman" w:eastAsia="宋体"/>
                <w:b w:val="0"/>
                <w:i w:val="0"/>
                <w:color w:val="595959"/>
                <w:sz w:val="19"/>
              </w:rPr>
              <w:t>awareness</w:t>
            </w:r>
          </w:p>
        </w:tc>
        <w:tc>
          <w:tcPr>
            <w:tcW w:w="4706" w:type="dxa"/>
          </w:tcPr>
          <w:p w14:paraId="5431475E">
            <w:pPr>
              <w:spacing w:after="0" w:line="240" w:lineRule="auto"/>
            </w:pPr>
            <w:r>
              <w:rPr>
                <w:rFonts w:ascii="Times New Roman" w:hAnsi="Times New Roman" w:eastAsia="宋体"/>
                <w:b w:val="0"/>
                <w:i w:val="0"/>
                <w:color w:val="000000"/>
                <w:sz w:val="19"/>
              </w:rPr>
              <w:t>意识</w:t>
            </w:r>
          </w:p>
        </w:tc>
      </w:tr>
      <w:tr w14:paraId="6B6647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706" w:type="dxa"/>
          </w:tcPr>
          <w:p w14:paraId="248A1D42">
            <w:pPr>
              <w:spacing w:after="0" w:line="240" w:lineRule="auto"/>
            </w:pPr>
            <w:r>
              <w:rPr>
                <w:rFonts w:ascii="Times New Roman" w:hAnsi="Times New Roman" w:eastAsia="宋体"/>
                <w:b w:val="0"/>
                <w:i w:val="0"/>
                <w:color w:val="595959"/>
                <w:sz w:val="19"/>
              </w:rPr>
              <w:t>preservation</w:t>
            </w:r>
          </w:p>
        </w:tc>
        <w:tc>
          <w:tcPr>
            <w:tcW w:w="4706" w:type="dxa"/>
          </w:tcPr>
          <w:p w14:paraId="7A2FA019">
            <w:pPr>
              <w:spacing w:after="0" w:line="240" w:lineRule="auto"/>
            </w:pPr>
            <w:r>
              <w:rPr>
                <w:rFonts w:ascii="Times New Roman" w:hAnsi="Times New Roman" w:eastAsia="宋体"/>
                <w:b w:val="0"/>
                <w:i w:val="0"/>
                <w:color w:val="000000"/>
                <w:sz w:val="19"/>
              </w:rPr>
              <w:t>防护</w:t>
            </w:r>
          </w:p>
        </w:tc>
      </w:tr>
      <w:tr w14:paraId="35E3F5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706" w:type="dxa"/>
          </w:tcPr>
          <w:p w14:paraId="4E38EAFC">
            <w:pPr>
              <w:spacing w:after="0" w:line="240" w:lineRule="auto"/>
            </w:pPr>
            <w:r>
              <w:rPr>
                <w:rFonts w:ascii="Times New Roman" w:hAnsi="Times New Roman" w:eastAsia="宋体"/>
                <w:b w:val="0"/>
                <w:i w:val="0"/>
                <w:color w:val="595959"/>
                <w:sz w:val="19"/>
              </w:rPr>
              <w:t>concession</w:t>
            </w:r>
          </w:p>
        </w:tc>
        <w:tc>
          <w:tcPr>
            <w:tcW w:w="4706" w:type="dxa"/>
          </w:tcPr>
          <w:p w14:paraId="5852C19E">
            <w:pPr>
              <w:spacing w:after="0" w:line="240" w:lineRule="auto"/>
            </w:pPr>
            <w:r>
              <w:rPr>
                <w:rFonts w:ascii="Times New Roman" w:hAnsi="Times New Roman" w:eastAsia="宋体"/>
                <w:b w:val="0"/>
                <w:i w:val="0"/>
                <w:color w:val="000000"/>
                <w:sz w:val="19"/>
              </w:rPr>
              <w:t>让步</w:t>
            </w:r>
          </w:p>
        </w:tc>
      </w:tr>
      <w:tr w14:paraId="312FC1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706" w:type="dxa"/>
          </w:tcPr>
          <w:p w14:paraId="1C36AB6C">
            <w:pPr>
              <w:spacing w:after="0" w:line="240" w:lineRule="auto"/>
            </w:pPr>
            <w:r>
              <w:rPr>
                <w:rFonts w:ascii="Times New Roman" w:hAnsi="Times New Roman" w:eastAsia="宋体"/>
                <w:b w:val="0"/>
                <w:i w:val="0"/>
                <w:color w:val="595959"/>
                <w:sz w:val="19"/>
              </w:rPr>
              <w:t>post-delivery activities</w:t>
            </w:r>
          </w:p>
        </w:tc>
        <w:tc>
          <w:tcPr>
            <w:tcW w:w="4706" w:type="dxa"/>
          </w:tcPr>
          <w:p w14:paraId="139D876B">
            <w:pPr>
              <w:spacing w:after="0" w:line="240" w:lineRule="auto"/>
            </w:pPr>
            <w:r>
              <w:rPr>
                <w:rFonts w:ascii="Times New Roman" w:hAnsi="Times New Roman" w:eastAsia="宋体"/>
                <w:b w:val="0"/>
                <w:i w:val="0"/>
                <w:color w:val="000000"/>
                <w:sz w:val="19"/>
              </w:rPr>
              <w:t>交付后活动</w:t>
            </w:r>
          </w:p>
        </w:tc>
      </w:tr>
      <w:tr w14:paraId="3250F8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706" w:type="dxa"/>
          </w:tcPr>
          <w:p w14:paraId="395CA365">
            <w:pPr>
              <w:spacing w:after="0" w:line="240" w:lineRule="auto"/>
            </w:pPr>
            <w:r>
              <w:rPr>
                <w:rFonts w:ascii="Times New Roman" w:hAnsi="Times New Roman" w:eastAsia="宋体"/>
                <w:b w:val="0"/>
                <w:i w:val="0"/>
                <w:color w:val="595959"/>
                <w:sz w:val="19"/>
              </w:rPr>
              <w:t>planning of changes</w:t>
            </w:r>
          </w:p>
        </w:tc>
        <w:tc>
          <w:tcPr>
            <w:tcW w:w="4706" w:type="dxa"/>
          </w:tcPr>
          <w:p w14:paraId="7A5B29B8">
            <w:pPr>
              <w:spacing w:after="0" w:line="240" w:lineRule="auto"/>
            </w:pPr>
            <w:r>
              <w:rPr>
                <w:rFonts w:ascii="Times New Roman" w:hAnsi="Times New Roman" w:eastAsia="宋体"/>
                <w:b w:val="0"/>
                <w:i w:val="0"/>
                <w:color w:val="000000"/>
                <w:sz w:val="19"/>
              </w:rPr>
              <w:t>变更的策划</w:t>
            </w:r>
          </w:p>
        </w:tc>
      </w:tr>
    </w:tbl>
    <w:p w14:paraId="67CB566D">
      <w:r>
        <w:br w:type="page"/>
      </w:r>
    </w:p>
    <w:p w14:paraId="25630123">
      <w:r>
        <w:rPr>
          <w:rFonts w:ascii="Times New Roman" w:hAnsi="Times New Roman" w:eastAsia="宋体"/>
          <w:b/>
          <w:i w:val="0"/>
          <w:color w:val="000000"/>
          <w:sz w:val="34"/>
        </w:rPr>
        <w:t>ISO 9001:2026 质量管理体系 要求（中英对照正文）</w:t>
      </w:r>
    </w:p>
    <w:p w14:paraId="0547EDC4">
      <w:r>
        <w:rPr>
          <w:rFonts w:ascii="Times New Roman" w:hAnsi="Times New Roman" w:eastAsia="宋体"/>
          <w:b w:val="0"/>
          <w:i/>
          <w:color w:val="595959"/>
          <w:sz w:val="19"/>
        </w:rPr>
        <w:t>International Standard ISO 9001:2026(en), Sixth edition, 2026-09 — © ISO 2026</w:t>
      </w:r>
    </w:p>
    <w:p w14:paraId="0A62D8F1">
      <w:pPr>
        <w:keepNext/>
        <w:spacing w:before="320" w:after="0"/>
        <w:jc w:val="left"/>
      </w:pPr>
      <w:r>
        <w:rPr>
          <w:rFonts w:ascii="Times New Roman" w:hAnsi="Times New Roman" w:eastAsia="宋体"/>
          <w:b/>
          <w:i w:val="0"/>
          <w:color w:val="000000"/>
          <w:sz w:val="28"/>
        </w:rPr>
        <w:t>Foreword</w:t>
      </w:r>
    </w:p>
    <w:p w14:paraId="1C3FC5D2">
      <w:pPr>
        <w:pBdr>
          <w:bottom w:val="single" w:color="C01E2E" w:sz="8" w:space="2"/>
        </w:pBdr>
        <w:spacing w:before="0" w:after="100"/>
        <w:jc w:val="left"/>
      </w:pPr>
      <w:r>
        <w:rPr>
          <w:rFonts w:ascii="Times New Roman" w:hAnsi="Times New Roman" w:eastAsia="黑体"/>
          <w:b w:val="0"/>
          <w:i w:val="0"/>
          <w:color w:val="000000"/>
          <w:sz w:val="28"/>
        </w:rPr>
        <w:t>前言</w:t>
      </w:r>
    </w:p>
    <w:p w14:paraId="28D300ED">
      <w:pPr>
        <w:keepNext/>
        <w:spacing w:before="60" w:after="0"/>
        <w:jc w:val="both"/>
      </w:pPr>
      <w:r>
        <w:rPr>
          <w:rFonts w:ascii="Times New Roman" w:hAnsi="Times New Roman" w:eastAsia="宋体"/>
          <w:b w:val="0"/>
          <w:i w:val="0"/>
          <w:color w:val="000000"/>
          <w:sz w:val="21"/>
        </w:rPr>
        <w:t>ISO (the International Organization for Standardization) is a worldwide federation of national standards bodies (ISO member bodies). The work of preparing International Standards is normally carried out through ISO technical committees. Each member body interested in a subject for which a technical committee has been established has the right to be represented on that committee. International organizations, governmental and non-governmental, in liaison with ISO, also take part in the work. ISO collaborates closely with the International Electrotechnical Commission (IEC) on all matters of electrotechnical standardization.</w:t>
      </w:r>
    </w:p>
    <w:p w14:paraId="3B9618B2">
      <w:pPr>
        <w:spacing w:before="0" w:after="100"/>
        <w:jc w:val="both"/>
      </w:pPr>
      <w:r>
        <w:rPr>
          <w:rFonts w:ascii="Times New Roman" w:hAnsi="Times New Roman" w:eastAsia="宋体"/>
          <w:b w:val="0"/>
          <w:i w:val="0"/>
          <w:color w:val="000000"/>
          <w:sz w:val="21"/>
        </w:rPr>
        <w:t>ISO（国际标准化组织）是由各国标准化团体（ISO成员团体）组成的世界性联合会。制定国际标准的工作通常由ISO的技术委员会完成。各成员团体若对某技术委员会确立的项目感兴趣，均有权参加该委员会的工作。与ISO保持联系的各国际组织（官方或非官方）也可参加有关工作。在电工技术标准化方面，ISO与国际电工委员会（IEC）保持密切合作关系。</w:t>
      </w:r>
    </w:p>
    <w:p w14:paraId="49E7E7AD">
      <w:pPr>
        <w:keepNext/>
        <w:spacing w:before="60" w:after="0"/>
        <w:jc w:val="both"/>
      </w:pPr>
      <w:r>
        <w:rPr>
          <w:rFonts w:ascii="Times New Roman" w:hAnsi="Times New Roman" w:eastAsia="宋体"/>
          <w:b w:val="0"/>
          <w:i w:val="0"/>
          <w:color w:val="000000"/>
          <w:sz w:val="21"/>
        </w:rPr>
        <w:t>The procedures used to develop this document and those intended for its further maintenance are described in the ISO/IEC Directives, Part 1. In particular, the different approval criteria needed for the different types of ISO document should be noted. This document was drafted in accordance with the editorial rules of the ISO/IEC Directives, Part 2 (see www.iso.org/directives).</w:t>
      </w:r>
    </w:p>
    <w:p w14:paraId="4FAE1A88">
      <w:pPr>
        <w:spacing w:before="0" w:after="100"/>
        <w:jc w:val="both"/>
      </w:pPr>
      <w:r>
        <w:rPr>
          <w:rFonts w:ascii="Times New Roman" w:hAnsi="Times New Roman" w:eastAsia="宋体"/>
          <w:b w:val="0"/>
          <w:i w:val="0"/>
          <w:color w:val="000000"/>
          <w:sz w:val="21"/>
        </w:rPr>
        <w:t>本文件的制定程序及后续维护程序在ISO/IEC导则第1部分中予以描述。尤其应注意，不同类型的ISO文件需要不同的批准准则。本文件按照ISO/IEC导则第2部分的编写规则起草（见www.iso.org/directives）。</w:t>
      </w:r>
    </w:p>
    <w:p w14:paraId="138A3A8F">
      <w:pPr>
        <w:keepNext/>
        <w:spacing w:before="60" w:after="0"/>
        <w:jc w:val="both"/>
      </w:pPr>
      <w:r>
        <w:rPr>
          <w:rFonts w:ascii="Times New Roman" w:hAnsi="Times New Roman" w:eastAsia="宋体"/>
          <w:b w:val="0"/>
          <w:i w:val="0"/>
          <w:color w:val="000000"/>
          <w:sz w:val="21"/>
        </w:rPr>
        <w:t>ISO draws attention to the possibility that the implementation of this document may involve the use of (a) patent(s). ISO takes no position concerning the evidence, validity or applicability of any claimed patent rights in respect thereof. As of the date of publication of this document, ISO had not received notice of (a) patent(s) which may be required to implement this document. However, implementers are cautioned that this may not represent the latest information, which may be obtained from the patent database available at www.iso.org/patents. ISO shall not be held responsible for identifying any or all such patent rights.</w:t>
      </w:r>
    </w:p>
    <w:p w14:paraId="543950D3">
      <w:pPr>
        <w:spacing w:before="0" w:after="100"/>
        <w:jc w:val="both"/>
      </w:pPr>
      <w:r>
        <w:rPr>
          <w:rFonts w:ascii="Times New Roman" w:hAnsi="Times New Roman" w:eastAsia="宋体"/>
          <w:b w:val="0"/>
          <w:i w:val="0"/>
          <w:color w:val="000000"/>
          <w:sz w:val="21"/>
        </w:rPr>
        <w:t>提请注意，本文件的某些内容可能涉及专利权。ISO对所主张的任何专利权的证据、有效性或适用性不持立场。截至本文件发布之日，ISO尚未收到实施本文件所需的专利权的通知。但提醒实施者注意，上述信息可能并非最新信息，最新信息可通过www.iso.org/patents的专利数据库获取。ISO不对识别任何或全部此类专利权承担责任。</w:t>
      </w:r>
    </w:p>
    <w:p w14:paraId="761342FF">
      <w:pPr>
        <w:keepNext/>
        <w:spacing w:before="60" w:after="0"/>
        <w:jc w:val="both"/>
      </w:pPr>
      <w:r>
        <w:rPr>
          <w:rFonts w:ascii="Times New Roman" w:hAnsi="Times New Roman" w:eastAsia="宋体"/>
          <w:b w:val="0"/>
          <w:i w:val="0"/>
          <w:color w:val="000000"/>
          <w:sz w:val="21"/>
        </w:rPr>
        <w:t>Any trade name used in this document is information given for the convenience of users and does not constitute an endorsement.</w:t>
      </w:r>
    </w:p>
    <w:p w14:paraId="2982F5FD">
      <w:pPr>
        <w:spacing w:before="0" w:after="100"/>
        <w:jc w:val="both"/>
      </w:pPr>
      <w:r>
        <w:rPr>
          <w:rFonts w:ascii="Times New Roman" w:hAnsi="Times New Roman" w:eastAsia="宋体"/>
          <w:b w:val="0"/>
          <w:i w:val="0"/>
          <w:color w:val="000000"/>
          <w:sz w:val="21"/>
        </w:rPr>
        <w:t>本文件中使用的任何商品名称仅为方便使用者而提供的信息，不构成背书。</w:t>
      </w:r>
    </w:p>
    <w:p w14:paraId="4FE56339">
      <w:pPr>
        <w:keepNext/>
        <w:spacing w:before="60" w:after="0"/>
        <w:jc w:val="both"/>
      </w:pPr>
      <w:r>
        <w:rPr>
          <w:rFonts w:ascii="Times New Roman" w:hAnsi="Times New Roman" w:eastAsia="宋体"/>
          <w:b w:val="0"/>
          <w:i w:val="0"/>
          <w:color w:val="000000"/>
          <w:sz w:val="21"/>
        </w:rPr>
        <w:t>For an explanation of the voluntary nature of standards, the meaning of ISO specific terms and expressions related to conformity assessment, as well as information about ISO's adherence to the World Trade Organization (WTO) principles in the Technical Barriers to Trade (TBT), see www.iso.org/iso/foreword.html.</w:t>
      </w:r>
    </w:p>
    <w:p w14:paraId="18D9809B">
      <w:pPr>
        <w:spacing w:before="0" w:after="100"/>
        <w:jc w:val="both"/>
      </w:pPr>
      <w:r>
        <w:rPr>
          <w:rFonts w:ascii="Times New Roman" w:hAnsi="Times New Roman" w:eastAsia="宋体"/>
          <w:b w:val="0"/>
          <w:i w:val="0"/>
          <w:color w:val="000000"/>
          <w:sz w:val="21"/>
        </w:rPr>
        <w:t>有关标准自愿性质的说明、ISO与合格评定相关的特定术语和表述的含义，以及ISO遵守世界贸易组织（WTO）《技术性贸易壁垒协定》（TBT）原则的信息，请参阅www.iso.org/iso/foreword.html。</w:t>
      </w:r>
    </w:p>
    <w:p w14:paraId="57652673">
      <w:pPr>
        <w:keepNext/>
        <w:spacing w:before="60" w:after="0"/>
        <w:jc w:val="both"/>
      </w:pPr>
      <w:r>
        <w:rPr>
          <w:rFonts w:ascii="Times New Roman" w:hAnsi="Times New Roman" w:eastAsia="宋体"/>
          <w:b w:val="0"/>
          <w:i w:val="0"/>
          <w:color w:val="000000"/>
          <w:sz w:val="21"/>
        </w:rPr>
        <w:t>This document was prepared by Technical Committee ISO/TC 176, Quality management and quality assurance, Subcommittee SC 2, Quality systems, in collaboration with the European Committee for Standardization (CEN), in accordance with the Agreement on technical cooperation between ISO and CEN (Vienna Agreement).</w:t>
      </w:r>
    </w:p>
    <w:p w14:paraId="4A9A946E">
      <w:pPr>
        <w:spacing w:before="0" w:after="100"/>
        <w:jc w:val="both"/>
      </w:pPr>
      <w:r>
        <w:rPr>
          <w:rFonts w:ascii="Times New Roman" w:hAnsi="Times New Roman" w:eastAsia="宋体"/>
          <w:b w:val="0"/>
          <w:i w:val="0"/>
          <w:color w:val="000000"/>
          <w:sz w:val="21"/>
        </w:rPr>
        <w:t>本文件由ISO/TC 176质量管理和质量保证技术委员会SC 2质量体系分委员会，按照ISO与欧洲标准化委员会（CEN）之间的技术合作协议（维也纳协议），与CEN合作制定。</w:t>
      </w:r>
    </w:p>
    <w:p w14:paraId="23B936D5">
      <w:pPr>
        <w:keepNext/>
        <w:spacing w:before="60" w:after="0"/>
        <w:jc w:val="both"/>
      </w:pPr>
      <w:r>
        <w:rPr>
          <w:rFonts w:ascii="Times New Roman" w:hAnsi="Times New Roman" w:eastAsia="宋体"/>
          <w:b w:val="0"/>
          <w:i w:val="0"/>
          <w:color w:val="000000"/>
          <w:sz w:val="21"/>
        </w:rPr>
        <w:t>This sixth edition cancels and replaces the fifth edition (ISO 9001:2015), which has been technically revised. It also incorporates the Amendment ISO 9001:2015/Amd 1:2024.</w:t>
      </w:r>
    </w:p>
    <w:p w14:paraId="603B13E7">
      <w:pPr>
        <w:spacing w:before="0" w:after="100"/>
        <w:jc w:val="both"/>
      </w:pPr>
      <w:r>
        <w:rPr>
          <w:rFonts w:ascii="Times New Roman" w:hAnsi="Times New Roman" w:eastAsia="宋体"/>
          <w:b w:val="0"/>
          <w:i w:val="0"/>
          <w:color w:val="000000"/>
          <w:sz w:val="21"/>
        </w:rPr>
        <w:t>本第六版取消并替代第五版（ISO 9001:2015），第五版已作技术性修订。本版还纳入了修正案ISO 9001:2015/Amd 1:2024的内容。</w:t>
      </w:r>
    </w:p>
    <w:p w14:paraId="1C504D08">
      <w:pPr>
        <w:keepNext/>
        <w:spacing w:before="60" w:after="0"/>
        <w:jc w:val="both"/>
      </w:pPr>
      <w:r>
        <w:rPr>
          <w:rFonts w:ascii="Times New Roman" w:hAnsi="Times New Roman" w:eastAsia="宋体"/>
          <w:b w:val="0"/>
          <w:i w:val="0"/>
          <w:color w:val="000000"/>
          <w:sz w:val="21"/>
        </w:rPr>
        <w:t>The main changes are as follows:</w:t>
      </w:r>
    </w:p>
    <w:p w14:paraId="3FEF2A3A">
      <w:pPr>
        <w:spacing w:before="0" w:after="100"/>
        <w:jc w:val="both"/>
      </w:pPr>
      <w:r>
        <w:rPr>
          <w:rFonts w:ascii="Times New Roman" w:hAnsi="Times New Roman" w:eastAsia="宋体"/>
          <w:b w:val="0"/>
          <w:i w:val="0"/>
          <w:color w:val="000000"/>
          <w:sz w:val="21"/>
        </w:rPr>
        <w:t>主要变化如下：</w:t>
      </w:r>
    </w:p>
    <w:p w14:paraId="0C6927A8">
      <w:pPr>
        <w:keepNext/>
        <w:spacing w:before="20" w:after="0"/>
        <w:ind w:left="357" w:hanging="357"/>
        <w:jc w:val="both"/>
      </w:pPr>
      <w:r>
        <w:rPr>
          <w:rFonts w:ascii="Times New Roman" w:hAnsi="Times New Roman" w:eastAsia="宋体"/>
          <w:b w:val="0"/>
          <w:i w:val="0"/>
          <w:color w:val="000000"/>
          <w:sz w:val="21"/>
        </w:rPr>
        <w:t>a) Inclusion of core ISO management system terms and definitions: Clause 3 of the document now includes a limited number of terms and definitions. ISO 9000 remains the normative reference for all quality management terms and definitions.</w:t>
      </w:r>
    </w:p>
    <w:p w14:paraId="62F0FF53">
      <w:pPr>
        <w:spacing w:before="0" w:after="60"/>
        <w:ind w:left="357" w:hanging="357"/>
        <w:jc w:val="both"/>
      </w:pPr>
      <w:r>
        <w:rPr>
          <w:rFonts w:ascii="Times New Roman" w:hAnsi="Times New Roman" w:eastAsia="宋体"/>
          <w:b w:val="0"/>
          <w:i w:val="0"/>
          <w:color w:val="000000"/>
          <w:sz w:val="21"/>
        </w:rPr>
        <w:t>纳入核心ISO管理体系术语和定义：本文件第3章现纳入了有限数量的术语和定义。ISO 9000仍然是全部质量管理术语和定义的规范性引用文件。</w:t>
      </w:r>
    </w:p>
    <w:p w14:paraId="2F507D5F">
      <w:pPr>
        <w:keepNext/>
        <w:spacing w:before="20" w:after="0"/>
        <w:ind w:left="357" w:hanging="357"/>
        <w:jc w:val="both"/>
      </w:pPr>
      <w:r>
        <w:rPr>
          <w:rFonts w:ascii="Times New Roman" w:hAnsi="Times New Roman" w:eastAsia="宋体"/>
          <w:b w:val="0"/>
          <w:i w:val="0"/>
          <w:color w:val="000000"/>
          <w:sz w:val="21"/>
        </w:rPr>
        <w:t>b) Introduction of quality culture and ethical behaviour: Quality culture and ethical behaviour are now addressed within the requirements, particularly in relation to leadership, awareness and the environment for the operation of processes.</w:t>
      </w:r>
    </w:p>
    <w:p w14:paraId="41D79A6D">
      <w:pPr>
        <w:spacing w:before="0" w:after="60"/>
        <w:ind w:left="357" w:hanging="357"/>
        <w:jc w:val="both"/>
      </w:pPr>
      <w:r>
        <w:rPr>
          <w:rFonts w:ascii="Times New Roman" w:hAnsi="Times New Roman" w:eastAsia="宋体"/>
          <w:b w:val="0"/>
          <w:i w:val="0"/>
          <w:color w:val="000000"/>
          <w:sz w:val="21"/>
        </w:rPr>
        <w:t>引入质量文化和道德行为：质量文化和道德行为现已纳入要求之中，尤其体现在领导作用、意识以及过程运行环境等方面。</w:t>
      </w:r>
    </w:p>
    <w:p w14:paraId="7568F827">
      <w:pPr>
        <w:keepNext/>
        <w:spacing w:before="20" w:after="0"/>
        <w:ind w:left="357" w:hanging="357"/>
        <w:jc w:val="both"/>
      </w:pPr>
      <w:r>
        <w:rPr>
          <w:rFonts w:ascii="Times New Roman" w:hAnsi="Times New Roman" w:eastAsia="宋体"/>
          <w:b w:val="0"/>
          <w:i w:val="0"/>
          <w:color w:val="000000"/>
          <w:sz w:val="21"/>
        </w:rPr>
        <w:t>c) Separation of risks and opportunities: Risks and opportunities are more clearly distinguished, with separate consideration of actions to address each.</w:t>
      </w:r>
    </w:p>
    <w:p w14:paraId="6C862A2D">
      <w:pPr>
        <w:spacing w:before="0" w:after="60"/>
        <w:ind w:left="357" w:hanging="357"/>
        <w:jc w:val="both"/>
      </w:pPr>
      <w:r>
        <w:rPr>
          <w:rFonts w:ascii="Times New Roman" w:hAnsi="Times New Roman" w:eastAsia="宋体"/>
          <w:b w:val="0"/>
          <w:i w:val="0"/>
          <w:color w:val="000000"/>
          <w:sz w:val="21"/>
        </w:rPr>
        <w:t>风险与机遇的分离：风险和机遇得到更清晰的区分，应对各自所需的措施分别予以考虑。</w:t>
      </w:r>
    </w:p>
    <w:p w14:paraId="724D8E1D">
      <w:pPr>
        <w:keepNext/>
        <w:spacing w:before="20" w:after="0"/>
        <w:ind w:left="357" w:hanging="357"/>
        <w:jc w:val="both"/>
      </w:pPr>
      <w:r>
        <w:rPr>
          <w:rFonts w:ascii="Times New Roman" w:hAnsi="Times New Roman" w:eastAsia="宋体"/>
          <w:b w:val="0"/>
          <w:i w:val="0"/>
          <w:color w:val="000000"/>
          <w:sz w:val="21"/>
        </w:rPr>
        <w:t>d) Strengthened management of change: Requirements related to changes to the quality management system have been reinforced to support the achievement of intended results.</w:t>
      </w:r>
    </w:p>
    <w:p w14:paraId="394D0FFB">
      <w:pPr>
        <w:spacing w:before="0" w:after="60"/>
        <w:ind w:left="357" w:hanging="357"/>
        <w:jc w:val="both"/>
      </w:pPr>
      <w:r>
        <w:rPr>
          <w:rFonts w:ascii="Times New Roman" w:hAnsi="Times New Roman" w:eastAsia="宋体"/>
          <w:b w:val="0"/>
          <w:i w:val="0"/>
          <w:color w:val="000000"/>
          <w:sz w:val="21"/>
        </w:rPr>
        <w:t>强化变更管理：与质量管理体系变更有关的要求得到强化，以支持预期结果的实现。</w:t>
      </w:r>
    </w:p>
    <w:p w14:paraId="750533F7">
      <w:pPr>
        <w:keepNext/>
        <w:spacing w:before="20" w:after="0"/>
        <w:ind w:left="357" w:hanging="357"/>
        <w:jc w:val="both"/>
      </w:pPr>
      <w:r>
        <w:rPr>
          <w:rFonts w:ascii="Times New Roman" w:hAnsi="Times New Roman" w:eastAsia="宋体"/>
          <w:b w:val="0"/>
          <w:i w:val="0"/>
          <w:color w:val="000000"/>
          <w:sz w:val="21"/>
        </w:rPr>
        <w:t>e) Enhanced explanatory content in Annex A: It has been revised to provide enhanced clarification of the structure, terminology and intent of the requirements as informative text, without introducing additional requirements.</w:t>
      </w:r>
    </w:p>
    <w:p w14:paraId="0F81FEF1">
      <w:pPr>
        <w:spacing w:before="0" w:after="60"/>
        <w:ind w:left="357" w:hanging="357"/>
        <w:jc w:val="both"/>
      </w:pPr>
      <w:r>
        <w:rPr>
          <w:rFonts w:ascii="Times New Roman" w:hAnsi="Times New Roman" w:eastAsia="宋体"/>
          <w:b w:val="0"/>
          <w:i w:val="0"/>
          <w:color w:val="000000"/>
          <w:sz w:val="21"/>
        </w:rPr>
        <w:t>增强附录A的说明性内容：附录A已修订，以资料性文本的形式对要求的结构、术语和意图提供更充分的澄清，且未引入附加要求。</w:t>
      </w:r>
    </w:p>
    <w:p w14:paraId="44695618">
      <w:pPr>
        <w:keepNext/>
        <w:spacing w:before="20" w:after="0"/>
        <w:ind w:left="357" w:hanging="357"/>
        <w:jc w:val="both"/>
      </w:pPr>
      <w:r>
        <w:rPr>
          <w:rFonts w:ascii="Times New Roman" w:hAnsi="Times New Roman" w:eastAsia="宋体"/>
          <w:b w:val="0"/>
          <w:i w:val="0"/>
          <w:color w:val="000000"/>
          <w:sz w:val="21"/>
        </w:rPr>
        <w:t>f) Removal of Annex B: It previously provided information on other ISO/TC 176 standards. References to these standards are now included in Annex A and on the ISO/TC 176 website.</w:t>
      </w:r>
    </w:p>
    <w:p w14:paraId="4D855560">
      <w:pPr>
        <w:spacing w:before="0" w:after="60"/>
        <w:ind w:left="357" w:hanging="357"/>
        <w:jc w:val="both"/>
      </w:pPr>
      <w:r>
        <w:rPr>
          <w:rFonts w:ascii="Times New Roman" w:hAnsi="Times New Roman" w:eastAsia="宋体"/>
          <w:b w:val="0"/>
          <w:i w:val="0"/>
          <w:color w:val="000000"/>
          <w:sz w:val="21"/>
        </w:rPr>
        <w:t>删除附录B：附录B此前提供有关ISO/TC 176其他标准的信息，对这些标准的引用现包含于附录A及ISO/TC 176网站。</w:t>
      </w:r>
    </w:p>
    <w:p w14:paraId="4B165AB3">
      <w:pPr>
        <w:keepNext/>
        <w:spacing w:before="60" w:after="0"/>
        <w:jc w:val="both"/>
      </w:pPr>
      <w:r>
        <w:rPr>
          <w:rFonts w:ascii="Times New Roman" w:hAnsi="Times New Roman" w:eastAsia="宋体"/>
          <w:b w:val="0"/>
          <w:i w:val="0"/>
          <w:color w:val="000000"/>
          <w:sz w:val="21"/>
        </w:rPr>
        <w:t>Any feedback or questions on this document should be directed to the user's national standards body. A complete listing of these bodies can be found at www.iso.org/members.html.</w:t>
      </w:r>
    </w:p>
    <w:p w14:paraId="53C90C5B">
      <w:pPr>
        <w:spacing w:before="0" w:after="100"/>
        <w:jc w:val="both"/>
      </w:pPr>
      <w:r>
        <w:rPr>
          <w:rFonts w:ascii="Times New Roman" w:hAnsi="Times New Roman" w:eastAsia="宋体"/>
          <w:b w:val="0"/>
          <w:i w:val="0"/>
          <w:color w:val="000000"/>
          <w:sz w:val="21"/>
        </w:rPr>
        <w:t>对本文件的任何反馈或疑问，请提交至使用者所在国的国家标准机构。这些机构的完整名录见www.iso.org/members.html。</w:t>
      </w:r>
    </w:p>
    <w:p w14:paraId="278353FE">
      <w:pPr>
        <w:keepNext/>
        <w:spacing w:before="320" w:after="0"/>
        <w:jc w:val="left"/>
      </w:pPr>
      <w:r>
        <w:rPr>
          <w:rFonts w:ascii="Times New Roman" w:hAnsi="Times New Roman" w:eastAsia="宋体"/>
          <w:b/>
          <w:i w:val="0"/>
          <w:color w:val="000000"/>
          <w:sz w:val="28"/>
        </w:rPr>
        <w:t>Introduction</w:t>
      </w:r>
    </w:p>
    <w:p w14:paraId="3E7552A1">
      <w:pPr>
        <w:pBdr>
          <w:bottom w:val="single" w:color="C01E2E" w:sz="8" w:space="2"/>
        </w:pBdr>
        <w:spacing w:before="0" w:after="100"/>
        <w:jc w:val="left"/>
      </w:pPr>
      <w:r>
        <w:rPr>
          <w:rFonts w:ascii="Times New Roman" w:hAnsi="Times New Roman" w:eastAsia="黑体"/>
          <w:b w:val="0"/>
          <w:i w:val="0"/>
          <w:color w:val="000000"/>
          <w:sz w:val="28"/>
        </w:rPr>
        <w:t>引言</w:t>
      </w:r>
    </w:p>
    <w:p w14:paraId="097C3C4D">
      <w:pPr>
        <w:keepNext/>
        <w:spacing w:before="240" w:after="0"/>
        <w:jc w:val="left"/>
      </w:pPr>
      <w:r>
        <w:rPr>
          <w:rFonts w:ascii="Times New Roman" w:hAnsi="Times New Roman" w:eastAsia="宋体"/>
          <w:b/>
          <w:i w:val="0"/>
          <w:color w:val="000000"/>
          <w:sz w:val="24"/>
        </w:rPr>
        <w:t>0.1  General</w:t>
      </w:r>
    </w:p>
    <w:p w14:paraId="016ACE15">
      <w:pPr>
        <w:spacing w:before="0" w:after="80"/>
        <w:jc w:val="left"/>
      </w:pPr>
      <w:r>
        <w:rPr>
          <w:rFonts w:ascii="Times New Roman" w:hAnsi="Times New Roman" w:eastAsia="黑体"/>
          <w:b w:val="0"/>
          <w:i w:val="0"/>
          <w:color w:val="000000"/>
          <w:sz w:val="24"/>
        </w:rPr>
        <w:t>0.1  总则</w:t>
      </w:r>
    </w:p>
    <w:p w14:paraId="7E5887A3">
      <w:pPr>
        <w:keepNext/>
        <w:spacing w:before="60" w:after="0"/>
        <w:jc w:val="both"/>
      </w:pPr>
      <w:r>
        <w:rPr>
          <w:rFonts w:ascii="Times New Roman" w:hAnsi="Times New Roman" w:eastAsia="宋体"/>
          <w:b w:val="0"/>
          <w:i w:val="0"/>
          <w:color w:val="000000"/>
          <w:sz w:val="21"/>
        </w:rPr>
        <w:t>Establishing and implementing a quality management system is a strategic decision for an organization that supports improved performance, enhances customer satisfaction, and provides a foundation for sustained success and sustainable development initiatives.</w:t>
      </w:r>
    </w:p>
    <w:p w14:paraId="0AA8A20C">
      <w:pPr>
        <w:spacing w:before="0" w:after="100"/>
        <w:jc w:val="both"/>
      </w:pPr>
      <w:r>
        <w:rPr>
          <w:rFonts w:ascii="Times New Roman" w:hAnsi="Times New Roman" w:eastAsia="宋体"/>
          <w:b w:val="0"/>
          <w:i w:val="0"/>
          <w:color w:val="000000"/>
          <w:sz w:val="21"/>
        </w:rPr>
        <w:t>建立和实施质量管理体系是组织的一项战略决策，有助于改进绩效、增强顾客满意，并为持续成功和可持续发展举措奠定基础。</w:t>
      </w:r>
    </w:p>
    <w:p w14:paraId="68C95F71">
      <w:pPr>
        <w:keepNext/>
        <w:spacing w:before="60" w:after="0"/>
        <w:jc w:val="both"/>
      </w:pPr>
      <w:r>
        <w:rPr>
          <w:rFonts w:ascii="Times New Roman" w:hAnsi="Times New Roman" w:eastAsia="宋体"/>
          <w:b w:val="0"/>
          <w:i w:val="0"/>
          <w:color w:val="000000"/>
          <w:sz w:val="21"/>
        </w:rPr>
        <w:t>The potential benefits to an organization of implementing a quality management system based on the requirements in this document are:</w:t>
      </w:r>
    </w:p>
    <w:p w14:paraId="13E3AEFF">
      <w:pPr>
        <w:spacing w:before="0" w:after="100"/>
        <w:jc w:val="both"/>
      </w:pPr>
      <w:r>
        <w:rPr>
          <w:rFonts w:ascii="Times New Roman" w:hAnsi="Times New Roman" w:eastAsia="宋体"/>
          <w:b w:val="0"/>
          <w:i w:val="0"/>
          <w:color w:val="000000"/>
          <w:sz w:val="21"/>
        </w:rPr>
        <w:t>组织实施基于本文件要求的质量管理体系，其潜在收益为：</w:t>
      </w:r>
    </w:p>
    <w:p w14:paraId="365A73A2">
      <w:pPr>
        <w:keepNext/>
        <w:spacing w:before="20" w:after="0"/>
        <w:ind w:left="357" w:hanging="357"/>
        <w:jc w:val="both"/>
      </w:pPr>
      <w:r>
        <w:rPr>
          <w:rFonts w:ascii="Times New Roman" w:hAnsi="Times New Roman" w:eastAsia="宋体"/>
          <w:b w:val="0"/>
          <w:i w:val="0"/>
          <w:color w:val="000000"/>
          <w:sz w:val="21"/>
        </w:rPr>
        <w:t>a) the ability to consistently provide products and services that meet customer and applicable statutory and regulatory requirements;</w:t>
      </w:r>
    </w:p>
    <w:p w14:paraId="424D3E01">
      <w:pPr>
        <w:spacing w:before="0" w:after="60"/>
        <w:ind w:left="357" w:hanging="357"/>
        <w:jc w:val="both"/>
      </w:pPr>
      <w:r>
        <w:rPr>
          <w:rFonts w:ascii="Times New Roman" w:hAnsi="Times New Roman" w:eastAsia="宋体"/>
          <w:b w:val="0"/>
          <w:i w:val="0"/>
          <w:color w:val="000000"/>
          <w:sz w:val="21"/>
        </w:rPr>
        <w:t>能够稳定提供满足顾客要求以及适用的法律法规要求的产品和服务；</w:t>
      </w:r>
    </w:p>
    <w:p w14:paraId="06AC100B">
      <w:pPr>
        <w:keepNext/>
        <w:spacing w:before="20" w:after="0"/>
        <w:ind w:left="357" w:hanging="357"/>
        <w:jc w:val="both"/>
      </w:pPr>
      <w:r>
        <w:rPr>
          <w:rFonts w:ascii="Times New Roman" w:hAnsi="Times New Roman" w:eastAsia="宋体"/>
          <w:b w:val="0"/>
          <w:i w:val="0"/>
          <w:color w:val="000000"/>
          <w:sz w:val="21"/>
        </w:rPr>
        <w:t>b) facilitating opportunities to enhance customer satisfaction;</w:t>
      </w:r>
    </w:p>
    <w:p w14:paraId="60D21695">
      <w:pPr>
        <w:spacing w:before="0" w:after="60"/>
        <w:ind w:left="357" w:hanging="357"/>
        <w:jc w:val="both"/>
      </w:pPr>
      <w:r>
        <w:rPr>
          <w:rFonts w:ascii="Times New Roman" w:hAnsi="Times New Roman" w:eastAsia="宋体"/>
          <w:b w:val="0"/>
          <w:i w:val="0"/>
          <w:color w:val="000000"/>
          <w:sz w:val="21"/>
        </w:rPr>
        <w:t>促进增强顾客满意的机遇；</w:t>
      </w:r>
    </w:p>
    <w:p w14:paraId="5498B375">
      <w:pPr>
        <w:keepNext/>
        <w:spacing w:before="20" w:after="0"/>
        <w:ind w:left="357" w:hanging="357"/>
        <w:jc w:val="both"/>
      </w:pPr>
      <w:r>
        <w:rPr>
          <w:rFonts w:ascii="Times New Roman" w:hAnsi="Times New Roman" w:eastAsia="宋体"/>
          <w:b w:val="0"/>
          <w:i w:val="0"/>
          <w:color w:val="000000"/>
          <w:sz w:val="21"/>
        </w:rPr>
        <w:t>c) addressing risks and opportunities associated with its context and objectives;</w:t>
      </w:r>
    </w:p>
    <w:p w14:paraId="3186EB6D">
      <w:pPr>
        <w:spacing w:before="0" w:after="60"/>
        <w:ind w:left="357" w:hanging="357"/>
        <w:jc w:val="both"/>
      </w:pPr>
      <w:r>
        <w:rPr>
          <w:rFonts w:ascii="Times New Roman" w:hAnsi="Times New Roman" w:eastAsia="宋体"/>
          <w:b w:val="0"/>
          <w:i w:val="0"/>
          <w:color w:val="000000"/>
          <w:sz w:val="21"/>
        </w:rPr>
        <w:t>应对与其环境（组织环境）和目标相关的风险和机遇；</w:t>
      </w:r>
    </w:p>
    <w:p w14:paraId="5106CAAC">
      <w:pPr>
        <w:keepNext/>
        <w:spacing w:before="20" w:after="0"/>
        <w:ind w:left="357" w:hanging="357"/>
        <w:jc w:val="both"/>
      </w:pPr>
      <w:r>
        <w:rPr>
          <w:rFonts w:ascii="Times New Roman" w:hAnsi="Times New Roman" w:eastAsia="宋体"/>
          <w:b w:val="0"/>
          <w:i w:val="0"/>
          <w:color w:val="000000"/>
          <w:sz w:val="21"/>
        </w:rPr>
        <w:t>d) the ability to demonstrate conformity to quality management system requirements.</w:t>
      </w:r>
    </w:p>
    <w:p w14:paraId="46790A39">
      <w:pPr>
        <w:spacing w:before="0" w:after="60"/>
        <w:ind w:left="357" w:hanging="357"/>
        <w:jc w:val="both"/>
      </w:pPr>
      <w:r>
        <w:rPr>
          <w:rFonts w:ascii="Times New Roman" w:hAnsi="Times New Roman" w:eastAsia="宋体"/>
          <w:b w:val="0"/>
          <w:i w:val="0"/>
          <w:color w:val="000000"/>
          <w:sz w:val="21"/>
        </w:rPr>
        <w:t>能够证实符合质量管理体系要求。</w:t>
      </w:r>
    </w:p>
    <w:p w14:paraId="1B2016CC">
      <w:pPr>
        <w:keepNext/>
        <w:spacing w:before="60" w:after="0"/>
        <w:jc w:val="both"/>
      </w:pPr>
      <w:r>
        <w:rPr>
          <w:rFonts w:ascii="Times New Roman" w:hAnsi="Times New Roman" w:eastAsia="宋体"/>
          <w:b w:val="0"/>
          <w:i w:val="0"/>
          <w:color w:val="000000"/>
          <w:sz w:val="21"/>
        </w:rPr>
        <w:t>This document can be used by internal and external parties.</w:t>
      </w:r>
    </w:p>
    <w:p w14:paraId="6208A81F">
      <w:pPr>
        <w:spacing w:before="0" w:after="100"/>
        <w:jc w:val="both"/>
      </w:pPr>
      <w:r>
        <w:rPr>
          <w:rFonts w:ascii="Times New Roman" w:hAnsi="Times New Roman" w:eastAsia="宋体"/>
          <w:b w:val="0"/>
          <w:i w:val="0"/>
          <w:color w:val="000000"/>
          <w:sz w:val="21"/>
        </w:rPr>
        <w:t>本文件可供内部和外部各方使用。</w:t>
      </w:r>
    </w:p>
    <w:p w14:paraId="6F59DB4F">
      <w:pPr>
        <w:keepNext/>
        <w:spacing w:before="60" w:after="0"/>
        <w:jc w:val="both"/>
      </w:pPr>
      <w:r>
        <w:rPr>
          <w:rFonts w:ascii="Times New Roman" w:hAnsi="Times New Roman" w:eastAsia="宋体"/>
          <w:b w:val="0"/>
          <w:i w:val="0"/>
          <w:color w:val="000000"/>
          <w:sz w:val="21"/>
        </w:rPr>
        <w:t>This document does not imply the need for:</w:t>
      </w:r>
    </w:p>
    <w:p w14:paraId="781E50C0">
      <w:pPr>
        <w:spacing w:before="0" w:after="100"/>
        <w:jc w:val="both"/>
      </w:pPr>
      <w:r>
        <w:rPr>
          <w:rFonts w:ascii="Times New Roman" w:hAnsi="Times New Roman" w:eastAsia="宋体"/>
          <w:b w:val="0"/>
          <w:i w:val="0"/>
          <w:color w:val="000000"/>
          <w:sz w:val="21"/>
        </w:rPr>
        <w:t>本文件并不意味着：</w:t>
      </w:r>
    </w:p>
    <w:p w14:paraId="0953FCBF">
      <w:pPr>
        <w:keepNext/>
        <w:spacing w:before="20" w:after="0"/>
        <w:ind w:left="357" w:hanging="357"/>
        <w:jc w:val="both"/>
      </w:pPr>
      <w:r>
        <w:rPr>
          <w:rFonts w:ascii="Times New Roman" w:hAnsi="Times New Roman" w:eastAsia="宋体"/>
          <w:b w:val="0"/>
          <w:i w:val="0"/>
          <w:color w:val="000000"/>
          <w:sz w:val="21"/>
        </w:rPr>
        <w:t>— uniformity in the structure of different quality management systems;</w:t>
      </w:r>
    </w:p>
    <w:p w14:paraId="7CAB5EC7">
      <w:pPr>
        <w:spacing w:before="0" w:after="60"/>
        <w:ind w:left="357" w:hanging="357"/>
        <w:jc w:val="both"/>
      </w:pPr>
      <w:r>
        <w:rPr>
          <w:rFonts w:ascii="Times New Roman" w:hAnsi="Times New Roman" w:eastAsia="宋体"/>
          <w:b w:val="0"/>
          <w:i w:val="0"/>
          <w:color w:val="000000"/>
          <w:sz w:val="21"/>
        </w:rPr>
        <w:t>—— 不同组织的质量管理体系结构需要统一；</w:t>
      </w:r>
    </w:p>
    <w:p w14:paraId="706AD497">
      <w:pPr>
        <w:keepNext/>
        <w:spacing w:before="20" w:after="0"/>
        <w:ind w:left="357" w:hanging="357"/>
        <w:jc w:val="both"/>
      </w:pPr>
      <w:r>
        <w:rPr>
          <w:rFonts w:ascii="Times New Roman" w:hAnsi="Times New Roman" w:eastAsia="宋体"/>
          <w:b w:val="0"/>
          <w:i w:val="0"/>
          <w:color w:val="000000"/>
          <w:sz w:val="21"/>
        </w:rPr>
        <w:t>— alignment of documentation to the clause structure of this document;</w:t>
      </w:r>
    </w:p>
    <w:p w14:paraId="74061C70">
      <w:pPr>
        <w:spacing w:before="0" w:after="60"/>
        <w:ind w:left="357" w:hanging="357"/>
        <w:jc w:val="both"/>
      </w:pPr>
      <w:r>
        <w:rPr>
          <w:rFonts w:ascii="Times New Roman" w:hAnsi="Times New Roman" w:eastAsia="宋体"/>
          <w:b w:val="0"/>
          <w:i w:val="0"/>
          <w:color w:val="000000"/>
          <w:sz w:val="21"/>
        </w:rPr>
        <w:t>—— 文件的编制需要与本文件的条款结构保持一致；</w:t>
      </w:r>
    </w:p>
    <w:p w14:paraId="4AED9B3E">
      <w:pPr>
        <w:keepNext/>
        <w:spacing w:before="20" w:after="0"/>
        <w:ind w:left="357" w:hanging="357"/>
        <w:jc w:val="both"/>
      </w:pPr>
      <w:r>
        <w:rPr>
          <w:rFonts w:ascii="Times New Roman" w:hAnsi="Times New Roman" w:eastAsia="宋体"/>
          <w:b w:val="0"/>
          <w:i w:val="0"/>
          <w:color w:val="000000"/>
          <w:sz w:val="21"/>
        </w:rPr>
        <w:t>— the use of the specific terminology of this document within the organization.</w:t>
      </w:r>
    </w:p>
    <w:p w14:paraId="405B236A">
      <w:pPr>
        <w:spacing w:before="0" w:after="60"/>
        <w:ind w:left="357" w:hanging="357"/>
        <w:jc w:val="both"/>
      </w:pPr>
      <w:r>
        <w:rPr>
          <w:rFonts w:ascii="Times New Roman" w:hAnsi="Times New Roman" w:eastAsia="宋体"/>
          <w:b w:val="0"/>
          <w:i w:val="0"/>
          <w:color w:val="000000"/>
          <w:sz w:val="21"/>
        </w:rPr>
        <w:t>—— 组织内部需要使用本文件的特定术语。</w:t>
      </w:r>
    </w:p>
    <w:p w14:paraId="64461750">
      <w:pPr>
        <w:keepNext/>
        <w:spacing w:before="60" w:after="0"/>
        <w:jc w:val="both"/>
      </w:pPr>
      <w:r>
        <w:rPr>
          <w:rFonts w:ascii="Times New Roman" w:hAnsi="Times New Roman" w:eastAsia="宋体"/>
          <w:b w:val="0"/>
          <w:i w:val="0"/>
          <w:color w:val="000000"/>
          <w:sz w:val="21"/>
        </w:rPr>
        <w:t>The quality management system requirements in this document are complementary to requirements for products and services.</w:t>
      </w:r>
    </w:p>
    <w:p w14:paraId="1BD0F5F4">
      <w:pPr>
        <w:spacing w:before="0" w:after="100"/>
        <w:jc w:val="both"/>
      </w:pPr>
      <w:r>
        <w:rPr>
          <w:rFonts w:ascii="Times New Roman" w:hAnsi="Times New Roman" w:eastAsia="宋体"/>
          <w:b w:val="0"/>
          <w:i w:val="0"/>
          <w:color w:val="000000"/>
          <w:sz w:val="21"/>
        </w:rPr>
        <w:t>本文件所规定的质量管理体系要求是对产品和服务要求的补充。</w:t>
      </w:r>
    </w:p>
    <w:p w14:paraId="5AF1D23A">
      <w:pPr>
        <w:keepNext/>
        <w:spacing w:before="60" w:after="0"/>
        <w:jc w:val="both"/>
      </w:pPr>
      <w:r>
        <w:rPr>
          <w:rFonts w:ascii="Times New Roman" w:hAnsi="Times New Roman" w:eastAsia="宋体"/>
          <w:b w:val="0"/>
          <w:i w:val="0"/>
          <w:color w:val="000000"/>
          <w:sz w:val="21"/>
        </w:rPr>
        <w:t>Consistently meeting requirements and addressing future needs and expectations of customers and other relevant interested parties poses a challenge for organizations in an increasingly dynamic and complex environment. To achieve this objective, the organization can pursue continual improvement in various ways, such as incremental or breakthrough change, innovation or reorganization initiatives.</w:t>
      </w:r>
    </w:p>
    <w:p w14:paraId="29782900">
      <w:pPr>
        <w:spacing w:before="0" w:after="100"/>
        <w:jc w:val="both"/>
      </w:pPr>
      <w:r>
        <w:rPr>
          <w:rFonts w:ascii="Times New Roman" w:hAnsi="Times New Roman" w:eastAsia="宋体"/>
          <w:b w:val="0"/>
          <w:i w:val="0"/>
          <w:color w:val="000000"/>
          <w:sz w:val="21"/>
        </w:rPr>
        <w:t>在日益动态和复杂的环境中，稳定满足要求并应对顾客和其他相关方未来的需求和期望，对组织而言是一项挑战。为实现这一目标，组织可通过多种方式追求持续改进，如渐进式或突破性变革、创新或重组举措。</w:t>
      </w:r>
    </w:p>
    <w:p w14:paraId="3AB7931F">
      <w:pPr>
        <w:keepNext/>
        <w:spacing w:before="60" w:after="0"/>
        <w:jc w:val="both"/>
      </w:pPr>
      <w:r>
        <w:rPr>
          <w:rFonts w:ascii="Times New Roman" w:hAnsi="Times New Roman" w:eastAsia="宋体"/>
          <w:b w:val="0"/>
          <w:i w:val="0"/>
          <w:color w:val="000000"/>
          <w:sz w:val="21"/>
        </w:rPr>
        <w:t>Annex A provides information and clarifications that can support understanding of the structure, terms and clauses of this document. It does not contain any additional requirements.</w:t>
      </w:r>
    </w:p>
    <w:p w14:paraId="2DBFD23F">
      <w:pPr>
        <w:spacing w:before="0" w:after="100"/>
        <w:jc w:val="both"/>
      </w:pPr>
      <w:r>
        <w:rPr>
          <w:rFonts w:ascii="Times New Roman" w:hAnsi="Times New Roman" w:eastAsia="宋体"/>
          <w:b w:val="0"/>
          <w:i w:val="0"/>
          <w:color w:val="000000"/>
          <w:sz w:val="21"/>
        </w:rPr>
        <w:t>附录A提供有助于理解本文件的结构、术语和条款的信息和澄清，但不包含任何附加要求。</w:t>
      </w:r>
    </w:p>
    <w:p w14:paraId="5EE1DA78">
      <w:pPr>
        <w:keepNext/>
        <w:spacing w:before="60" w:after="0"/>
        <w:jc w:val="both"/>
      </w:pPr>
      <w:r>
        <w:rPr>
          <w:rFonts w:ascii="Times New Roman" w:hAnsi="Times New Roman" w:eastAsia="宋体"/>
          <w:b w:val="0"/>
          <w:i w:val="0"/>
          <w:color w:val="000000"/>
          <w:sz w:val="21"/>
        </w:rPr>
        <w:t>For guidance on the application of all clauses in this document, see ISO 9002.</w:t>
      </w:r>
    </w:p>
    <w:p w14:paraId="15997617">
      <w:pPr>
        <w:spacing w:before="0" w:after="100"/>
        <w:jc w:val="both"/>
      </w:pPr>
      <w:r>
        <w:rPr>
          <w:rFonts w:ascii="Times New Roman" w:hAnsi="Times New Roman" w:eastAsia="宋体"/>
          <w:b w:val="0"/>
          <w:i w:val="0"/>
          <w:color w:val="000000"/>
          <w:sz w:val="21"/>
        </w:rPr>
        <w:t>有关本文件所有条款的应用指南，见ISO 9002。</w:t>
      </w:r>
    </w:p>
    <w:p w14:paraId="3F53CC5A">
      <w:pPr>
        <w:keepNext/>
        <w:spacing w:before="240" w:after="0"/>
        <w:jc w:val="left"/>
      </w:pPr>
      <w:r>
        <w:rPr>
          <w:rFonts w:ascii="Times New Roman" w:hAnsi="Times New Roman" w:eastAsia="宋体"/>
          <w:b/>
          <w:i w:val="0"/>
          <w:color w:val="000000"/>
          <w:sz w:val="24"/>
        </w:rPr>
        <w:t>0.2  Quality management principles</w:t>
      </w:r>
    </w:p>
    <w:p w14:paraId="21A4D9CE">
      <w:pPr>
        <w:spacing w:before="0" w:after="80"/>
        <w:jc w:val="left"/>
      </w:pPr>
      <w:r>
        <w:rPr>
          <w:rFonts w:ascii="Times New Roman" w:hAnsi="Times New Roman" w:eastAsia="黑体"/>
          <w:b w:val="0"/>
          <w:i w:val="0"/>
          <w:color w:val="000000"/>
          <w:sz w:val="24"/>
        </w:rPr>
        <w:t>0.2  质量管理原则</w:t>
      </w:r>
    </w:p>
    <w:p w14:paraId="5F1D44CE">
      <w:pPr>
        <w:keepNext/>
        <w:spacing w:before="60" w:after="0"/>
        <w:jc w:val="both"/>
      </w:pPr>
      <w:r>
        <w:rPr>
          <w:rFonts w:ascii="Times New Roman" w:hAnsi="Times New Roman" w:eastAsia="宋体"/>
          <w:b w:val="0"/>
          <w:i w:val="0"/>
          <w:color w:val="000000"/>
          <w:sz w:val="21"/>
        </w:rPr>
        <w:t>This document is based on the quality management principles described in ISO 9000. The descriptions include a statement of each principle, a rationale of why the principle is important for the organization, some examples of benefits associated with the principle and examples of actions to improve the organization's performance when applying the principle.</w:t>
      </w:r>
    </w:p>
    <w:p w14:paraId="25BEB4FC">
      <w:pPr>
        <w:spacing w:before="0" w:after="100"/>
        <w:jc w:val="both"/>
      </w:pPr>
      <w:r>
        <w:rPr>
          <w:rFonts w:ascii="Times New Roman" w:hAnsi="Times New Roman" w:eastAsia="宋体"/>
          <w:b w:val="0"/>
          <w:i w:val="0"/>
          <w:color w:val="000000"/>
          <w:sz w:val="21"/>
        </w:rPr>
        <w:t>本文件基于ISO 9000所描述的质量管理原则。相关描述包括每项原则的陈述、该原则对组织重要性的理由、与该原则相关的收益示例，以及应用该原则时改进组织绩效的措施示例。</w:t>
      </w:r>
    </w:p>
    <w:p w14:paraId="7049E3FD">
      <w:pPr>
        <w:keepNext/>
        <w:spacing w:before="60" w:after="0"/>
        <w:jc w:val="both"/>
      </w:pPr>
      <w:r>
        <w:rPr>
          <w:rFonts w:ascii="Times New Roman" w:hAnsi="Times New Roman" w:eastAsia="宋体"/>
          <w:b w:val="0"/>
          <w:i w:val="0"/>
          <w:color w:val="000000"/>
          <w:sz w:val="21"/>
        </w:rPr>
        <w:t>The quality management principles are:</w:t>
      </w:r>
    </w:p>
    <w:p w14:paraId="5CFF0D5F">
      <w:pPr>
        <w:spacing w:before="0" w:after="100"/>
        <w:jc w:val="both"/>
      </w:pPr>
      <w:r>
        <w:rPr>
          <w:rFonts w:ascii="Times New Roman" w:hAnsi="Times New Roman" w:eastAsia="宋体"/>
          <w:b w:val="0"/>
          <w:i w:val="0"/>
          <w:color w:val="000000"/>
          <w:sz w:val="21"/>
        </w:rPr>
        <w:t>质量管理原则包括：</w:t>
      </w:r>
    </w:p>
    <w:p w14:paraId="2E3C3590">
      <w:pPr>
        <w:keepNext/>
        <w:spacing w:before="20" w:after="0"/>
        <w:ind w:left="357" w:hanging="357"/>
        <w:jc w:val="both"/>
      </w:pPr>
      <w:r>
        <w:rPr>
          <w:rFonts w:ascii="Times New Roman" w:hAnsi="Times New Roman" w:eastAsia="宋体"/>
          <w:b w:val="0"/>
          <w:i w:val="0"/>
          <w:color w:val="000000"/>
          <w:sz w:val="21"/>
        </w:rPr>
        <w:t>— customer focus;</w:t>
      </w:r>
    </w:p>
    <w:p w14:paraId="2122D9AC">
      <w:pPr>
        <w:spacing w:before="0" w:after="60"/>
        <w:ind w:left="357" w:hanging="357"/>
        <w:jc w:val="both"/>
      </w:pPr>
      <w:r>
        <w:rPr>
          <w:rFonts w:ascii="Times New Roman" w:hAnsi="Times New Roman" w:eastAsia="宋体"/>
          <w:b w:val="0"/>
          <w:i w:val="0"/>
          <w:color w:val="000000"/>
          <w:sz w:val="21"/>
        </w:rPr>
        <w:t>—— 以顾客为关注焦点；</w:t>
      </w:r>
    </w:p>
    <w:p w14:paraId="42764DE8">
      <w:pPr>
        <w:keepNext/>
        <w:spacing w:before="20" w:after="0"/>
        <w:ind w:left="357" w:hanging="357"/>
        <w:jc w:val="both"/>
      </w:pPr>
      <w:r>
        <w:rPr>
          <w:rFonts w:ascii="Times New Roman" w:hAnsi="Times New Roman" w:eastAsia="宋体"/>
          <w:b w:val="0"/>
          <w:i w:val="0"/>
          <w:color w:val="000000"/>
          <w:sz w:val="21"/>
        </w:rPr>
        <w:t>— leadership;</w:t>
      </w:r>
    </w:p>
    <w:p w14:paraId="59731383">
      <w:pPr>
        <w:spacing w:before="0" w:after="60"/>
        <w:ind w:left="357" w:hanging="357"/>
        <w:jc w:val="both"/>
      </w:pPr>
      <w:r>
        <w:rPr>
          <w:rFonts w:ascii="Times New Roman" w:hAnsi="Times New Roman" w:eastAsia="宋体"/>
          <w:b w:val="0"/>
          <w:i w:val="0"/>
          <w:color w:val="000000"/>
          <w:sz w:val="21"/>
        </w:rPr>
        <w:t>—— 领导作用；</w:t>
      </w:r>
    </w:p>
    <w:p w14:paraId="06CEB645">
      <w:pPr>
        <w:keepNext/>
        <w:spacing w:before="20" w:after="0"/>
        <w:ind w:left="357" w:hanging="357"/>
        <w:jc w:val="both"/>
      </w:pPr>
      <w:r>
        <w:rPr>
          <w:rFonts w:ascii="Times New Roman" w:hAnsi="Times New Roman" w:eastAsia="宋体"/>
          <w:b w:val="0"/>
          <w:i w:val="0"/>
          <w:color w:val="000000"/>
          <w:sz w:val="21"/>
        </w:rPr>
        <w:t>— engagement of people;</w:t>
      </w:r>
    </w:p>
    <w:p w14:paraId="1C2B8A03">
      <w:pPr>
        <w:spacing w:before="0" w:after="60"/>
        <w:ind w:left="357" w:hanging="357"/>
        <w:jc w:val="both"/>
      </w:pPr>
      <w:r>
        <w:rPr>
          <w:rFonts w:ascii="Times New Roman" w:hAnsi="Times New Roman" w:eastAsia="宋体"/>
          <w:b w:val="0"/>
          <w:i w:val="0"/>
          <w:color w:val="000000"/>
          <w:sz w:val="21"/>
        </w:rPr>
        <w:t>—— 全员积极参与；</w:t>
      </w:r>
    </w:p>
    <w:p w14:paraId="68E554CE">
      <w:pPr>
        <w:keepNext/>
        <w:spacing w:before="20" w:after="0"/>
        <w:ind w:left="357" w:hanging="357"/>
        <w:jc w:val="both"/>
      </w:pPr>
      <w:r>
        <w:rPr>
          <w:rFonts w:ascii="Times New Roman" w:hAnsi="Times New Roman" w:eastAsia="宋体"/>
          <w:b w:val="0"/>
          <w:i w:val="0"/>
          <w:color w:val="000000"/>
          <w:sz w:val="21"/>
        </w:rPr>
        <w:t>— process approach;</w:t>
      </w:r>
    </w:p>
    <w:p w14:paraId="11DEBC90">
      <w:pPr>
        <w:spacing w:before="0" w:after="60"/>
        <w:ind w:left="357" w:hanging="357"/>
        <w:jc w:val="both"/>
      </w:pPr>
      <w:r>
        <w:rPr>
          <w:rFonts w:ascii="Times New Roman" w:hAnsi="Times New Roman" w:eastAsia="宋体"/>
          <w:b w:val="0"/>
          <w:i w:val="0"/>
          <w:color w:val="000000"/>
          <w:sz w:val="21"/>
        </w:rPr>
        <w:t>—— 过程方法；</w:t>
      </w:r>
    </w:p>
    <w:p w14:paraId="4B912F0F">
      <w:pPr>
        <w:keepNext/>
        <w:spacing w:before="20" w:after="0"/>
        <w:ind w:left="357" w:hanging="357"/>
        <w:jc w:val="both"/>
      </w:pPr>
      <w:r>
        <w:rPr>
          <w:rFonts w:ascii="Times New Roman" w:hAnsi="Times New Roman" w:eastAsia="宋体"/>
          <w:b w:val="0"/>
          <w:i w:val="0"/>
          <w:color w:val="000000"/>
          <w:sz w:val="21"/>
        </w:rPr>
        <w:t>— improvement;</w:t>
      </w:r>
    </w:p>
    <w:p w14:paraId="00AE72DC">
      <w:pPr>
        <w:spacing w:before="0" w:after="60"/>
        <w:ind w:left="357" w:hanging="357"/>
        <w:jc w:val="both"/>
      </w:pPr>
      <w:r>
        <w:rPr>
          <w:rFonts w:ascii="Times New Roman" w:hAnsi="Times New Roman" w:eastAsia="宋体"/>
          <w:b w:val="0"/>
          <w:i w:val="0"/>
          <w:color w:val="000000"/>
          <w:sz w:val="21"/>
        </w:rPr>
        <w:t>—— 改进；</w:t>
      </w:r>
    </w:p>
    <w:p w14:paraId="001FC3C5">
      <w:pPr>
        <w:keepNext/>
        <w:spacing w:before="20" w:after="0"/>
        <w:ind w:left="357" w:hanging="357"/>
        <w:jc w:val="both"/>
      </w:pPr>
      <w:r>
        <w:rPr>
          <w:rFonts w:ascii="Times New Roman" w:hAnsi="Times New Roman" w:eastAsia="宋体"/>
          <w:b w:val="0"/>
          <w:i w:val="0"/>
          <w:color w:val="000000"/>
          <w:sz w:val="21"/>
        </w:rPr>
        <w:t>— evidence-based decision-making;</w:t>
      </w:r>
    </w:p>
    <w:p w14:paraId="7A948FFB">
      <w:pPr>
        <w:spacing w:before="0" w:after="60"/>
        <w:ind w:left="357" w:hanging="357"/>
        <w:jc w:val="both"/>
      </w:pPr>
      <w:r>
        <w:rPr>
          <w:rFonts w:ascii="Times New Roman" w:hAnsi="Times New Roman" w:eastAsia="宋体"/>
          <w:b w:val="0"/>
          <w:i w:val="0"/>
          <w:color w:val="000000"/>
          <w:sz w:val="21"/>
        </w:rPr>
        <w:t>—— 循证决策；</w:t>
      </w:r>
    </w:p>
    <w:p w14:paraId="6C4C1014">
      <w:pPr>
        <w:keepNext/>
        <w:spacing w:before="20" w:after="0"/>
        <w:ind w:left="357" w:hanging="357"/>
        <w:jc w:val="both"/>
      </w:pPr>
      <w:r>
        <w:rPr>
          <w:rFonts w:ascii="Times New Roman" w:hAnsi="Times New Roman" w:eastAsia="宋体"/>
          <w:b w:val="0"/>
          <w:i w:val="0"/>
          <w:color w:val="000000"/>
          <w:sz w:val="21"/>
        </w:rPr>
        <w:t>— relationship management.</w:t>
      </w:r>
    </w:p>
    <w:p w14:paraId="2C309DA4">
      <w:pPr>
        <w:spacing w:before="0" w:after="60"/>
        <w:ind w:left="357" w:hanging="357"/>
        <w:jc w:val="both"/>
      </w:pPr>
      <w:r>
        <w:rPr>
          <w:rFonts w:ascii="Times New Roman" w:hAnsi="Times New Roman" w:eastAsia="宋体"/>
          <w:b w:val="0"/>
          <w:i w:val="0"/>
          <w:color w:val="000000"/>
          <w:sz w:val="21"/>
        </w:rPr>
        <w:t>—— 关系管理。</w:t>
      </w:r>
    </w:p>
    <w:p w14:paraId="2094C225">
      <w:pPr>
        <w:keepNext/>
        <w:spacing w:before="240" w:after="0"/>
        <w:jc w:val="left"/>
      </w:pPr>
      <w:r>
        <w:rPr>
          <w:rFonts w:ascii="Times New Roman" w:hAnsi="Times New Roman" w:eastAsia="宋体"/>
          <w:b/>
          <w:i w:val="0"/>
          <w:color w:val="000000"/>
          <w:sz w:val="24"/>
        </w:rPr>
        <w:t>0.3  Process approach</w:t>
      </w:r>
    </w:p>
    <w:p w14:paraId="6294EF9D">
      <w:pPr>
        <w:spacing w:before="0" w:after="80"/>
        <w:jc w:val="left"/>
      </w:pPr>
      <w:r>
        <w:rPr>
          <w:rFonts w:ascii="Times New Roman" w:hAnsi="Times New Roman" w:eastAsia="黑体"/>
          <w:b w:val="0"/>
          <w:i w:val="0"/>
          <w:color w:val="000000"/>
          <w:sz w:val="24"/>
        </w:rPr>
        <w:t>0.3  过程方法</w:t>
      </w:r>
    </w:p>
    <w:p w14:paraId="761C6F30">
      <w:pPr>
        <w:keepNext/>
        <w:spacing w:before="200" w:after="0"/>
        <w:jc w:val="left"/>
      </w:pPr>
      <w:r>
        <w:rPr>
          <w:rFonts w:ascii="Times New Roman" w:hAnsi="Times New Roman" w:eastAsia="宋体"/>
          <w:b/>
          <w:i w:val="0"/>
          <w:color w:val="000000"/>
          <w:sz w:val="22"/>
        </w:rPr>
        <w:t>0.3.1  General</w:t>
      </w:r>
    </w:p>
    <w:p w14:paraId="321F2CBD">
      <w:pPr>
        <w:spacing w:before="0" w:after="80"/>
        <w:jc w:val="left"/>
      </w:pPr>
      <w:r>
        <w:rPr>
          <w:rFonts w:ascii="Times New Roman" w:hAnsi="Times New Roman" w:eastAsia="黑体"/>
          <w:b w:val="0"/>
          <w:i w:val="0"/>
          <w:color w:val="000000"/>
          <w:sz w:val="22"/>
        </w:rPr>
        <w:t>0.3.1  总则</w:t>
      </w:r>
    </w:p>
    <w:p w14:paraId="52009724">
      <w:pPr>
        <w:keepNext/>
        <w:spacing w:before="60" w:after="0"/>
        <w:jc w:val="both"/>
      </w:pPr>
      <w:r>
        <w:rPr>
          <w:rFonts w:ascii="Times New Roman" w:hAnsi="Times New Roman" w:eastAsia="宋体"/>
          <w:b w:val="0"/>
          <w:i w:val="0"/>
          <w:color w:val="000000"/>
          <w:sz w:val="21"/>
        </w:rPr>
        <w:t>This document promotes the adoption of a process approach when establishing, implementing and improving the effectiveness of a quality management system, to enhance customer satisfaction by meeting customer requirements. Specific requirements considered essential to the application of a process approach are included in 4.4.</w:t>
      </w:r>
    </w:p>
    <w:p w14:paraId="67F48D79">
      <w:pPr>
        <w:spacing w:before="0" w:after="100"/>
        <w:jc w:val="both"/>
      </w:pPr>
      <w:r>
        <w:rPr>
          <w:rFonts w:ascii="Times New Roman" w:hAnsi="Times New Roman" w:eastAsia="宋体"/>
          <w:b w:val="0"/>
          <w:i w:val="0"/>
          <w:color w:val="000000"/>
          <w:sz w:val="21"/>
        </w:rPr>
        <w:t>本文件倡导在建立、实施质量管理体系并改进其有效性时采用过程方法，通过满足顾客要求以增强顾客满意。应用过程方法所需考虑的基本要求见4.4。</w:t>
      </w:r>
    </w:p>
    <w:p w14:paraId="3AC5B70A">
      <w:pPr>
        <w:keepNext/>
        <w:spacing w:before="60" w:after="0"/>
        <w:jc w:val="both"/>
      </w:pPr>
      <w:r>
        <w:rPr>
          <w:rFonts w:ascii="Times New Roman" w:hAnsi="Times New Roman" w:eastAsia="宋体"/>
          <w:b w:val="0"/>
          <w:i w:val="0"/>
          <w:color w:val="000000"/>
          <w:sz w:val="21"/>
        </w:rPr>
        <w:t>Understanding and managing interrelated processes as a system contributes to the organization's effectiveness and efficiency in achieving its intended results. This approach enables the organization to control the interrelationships and interdependencies among the processes of the system, so that the overall performance of the organization can be enhanced.</w:t>
      </w:r>
    </w:p>
    <w:p w14:paraId="60489656">
      <w:pPr>
        <w:spacing w:before="0" w:after="100"/>
        <w:jc w:val="both"/>
      </w:pPr>
      <w:r>
        <w:rPr>
          <w:rFonts w:ascii="Times New Roman" w:hAnsi="Times New Roman" w:eastAsia="宋体"/>
          <w:b w:val="0"/>
          <w:i w:val="0"/>
          <w:color w:val="000000"/>
          <w:sz w:val="21"/>
        </w:rPr>
        <w:t>将相互关联的过程作为体系加以理解和管理，有助于组织有效且高效地实现其预期结果。这种方法使组织能够对体系各过程之间的相互关联和相互依赖关系实施控制，从而增强组织的整体绩效。</w:t>
      </w:r>
    </w:p>
    <w:p w14:paraId="038362ED">
      <w:pPr>
        <w:keepNext/>
        <w:spacing w:before="60" w:after="0"/>
        <w:jc w:val="both"/>
      </w:pPr>
      <w:r>
        <w:rPr>
          <w:rFonts w:ascii="Times New Roman" w:hAnsi="Times New Roman" w:eastAsia="宋体"/>
          <w:b w:val="0"/>
          <w:i w:val="0"/>
          <w:color w:val="000000"/>
          <w:sz w:val="21"/>
        </w:rPr>
        <w:t>The process approach involves the systematic determination and management of processes, and their interactions, so as to achieve the intended results in accordance with the quality policy and strategic direction of the organization. Management of the processes and the system as a whole can be achieved using the Plan-Do-Check-Act (PDCA) cycle (see 0.3.2) with an overall focus on risk-based thinking (see A.6.1.2) aimed at preventing undesired results, and opportunity-based thinking (see A.6.1.3) aimed at pursuing desired results by taking advantage of opportunities.</w:t>
      </w:r>
    </w:p>
    <w:p w14:paraId="388FEA0F">
      <w:pPr>
        <w:spacing w:before="0" w:after="100"/>
        <w:jc w:val="both"/>
      </w:pPr>
      <w:r>
        <w:rPr>
          <w:rFonts w:ascii="Times New Roman" w:hAnsi="Times New Roman" w:eastAsia="宋体"/>
          <w:b w:val="0"/>
          <w:i w:val="0"/>
          <w:color w:val="000000"/>
          <w:sz w:val="21"/>
        </w:rPr>
        <w:t>过程方法包括对过程及其相互作用进行系统的确定和管理，以便按照组织的质量方针和战略方向实现预期结果。过程和整个体系的管理可通过采用“策划—实施—检查—处置”（PDCA）循环（见0.3.2）来实现，其总体关注点是基于风险的思维（见A.6.1.2），旨在防止不良结果；以及基于机遇的思维（见A.6.1.3），旨在利用机遇以获取期望的结果。</w:t>
      </w:r>
    </w:p>
    <w:p w14:paraId="23AED481">
      <w:pPr>
        <w:keepNext/>
        <w:spacing w:before="60" w:after="0"/>
        <w:jc w:val="both"/>
      </w:pPr>
      <w:r>
        <w:rPr>
          <w:rFonts w:ascii="Times New Roman" w:hAnsi="Times New Roman" w:eastAsia="宋体"/>
          <w:b w:val="0"/>
          <w:i w:val="0"/>
          <w:color w:val="000000"/>
          <w:sz w:val="21"/>
        </w:rPr>
        <w:t>The application of the process approach in a quality management system enables:</w:t>
      </w:r>
    </w:p>
    <w:p w14:paraId="25605629">
      <w:pPr>
        <w:spacing w:before="0" w:after="100"/>
        <w:jc w:val="both"/>
      </w:pPr>
      <w:r>
        <w:rPr>
          <w:rFonts w:ascii="Times New Roman" w:hAnsi="Times New Roman" w:eastAsia="宋体"/>
          <w:b w:val="0"/>
          <w:i w:val="0"/>
          <w:color w:val="000000"/>
          <w:sz w:val="21"/>
        </w:rPr>
        <w:t>在质量管理体系中应用过程方法能够：</w:t>
      </w:r>
    </w:p>
    <w:p w14:paraId="3A24E5C0">
      <w:pPr>
        <w:keepNext/>
        <w:spacing w:before="20" w:after="0"/>
        <w:ind w:left="357" w:hanging="357"/>
        <w:jc w:val="both"/>
      </w:pPr>
      <w:r>
        <w:rPr>
          <w:rFonts w:ascii="Times New Roman" w:hAnsi="Times New Roman" w:eastAsia="宋体"/>
          <w:b w:val="0"/>
          <w:i w:val="0"/>
          <w:color w:val="000000"/>
          <w:sz w:val="21"/>
        </w:rPr>
        <w:t>a) understanding and consistency in meeting requirements;</w:t>
      </w:r>
    </w:p>
    <w:p w14:paraId="0A6D2820">
      <w:pPr>
        <w:spacing w:before="0" w:after="60"/>
        <w:ind w:left="357" w:hanging="357"/>
        <w:jc w:val="both"/>
      </w:pPr>
      <w:r>
        <w:rPr>
          <w:rFonts w:ascii="Times New Roman" w:hAnsi="Times New Roman" w:eastAsia="宋体"/>
          <w:b w:val="0"/>
          <w:i w:val="0"/>
          <w:color w:val="000000"/>
          <w:sz w:val="21"/>
        </w:rPr>
        <w:t>理解并一致地满足要求；</w:t>
      </w:r>
    </w:p>
    <w:p w14:paraId="2C04AF30">
      <w:pPr>
        <w:keepNext/>
        <w:spacing w:before="20" w:after="0"/>
        <w:ind w:left="357" w:hanging="357"/>
        <w:jc w:val="both"/>
      </w:pPr>
      <w:r>
        <w:rPr>
          <w:rFonts w:ascii="Times New Roman" w:hAnsi="Times New Roman" w:eastAsia="宋体"/>
          <w:b w:val="0"/>
          <w:i w:val="0"/>
          <w:color w:val="000000"/>
          <w:sz w:val="21"/>
        </w:rPr>
        <w:t>b) consideration of processes in terms of risk, opportunity and added value;</w:t>
      </w:r>
    </w:p>
    <w:p w14:paraId="0F92EF98">
      <w:pPr>
        <w:spacing w:before="0" w:after="60"/>
        <w:ind w:left="357" w:hanging="357"/>
        <w:jc w:val="both"/>
      </w:pPr>
      <w:r>
        <w:rPr>
          <w:rFonts w:ascii="Times New Roman" w:hAnsi="Times New Roman" w:eastAsia="宋体"/>
          <w:b w:val="0"/>
          <w:i w:val="0"/>
          <w:color w:val="000000"/>
          <w:sz w:val="21"/>
        </w:rPr>
        <w:t>从风险、机遇和增值的角度考虑过程；</w:t>
      </w:r>
    </w:p>
    <w:p w14:paraId="38D72805">
      <w:pPr>
        <w:keepNext/>
        <w:spacing w:before="20" w:after="0"/>
        <w:ind w:left="357" w:hanging="357"/>
        <w:jc w:val="both"/>
      </w:pPr>
      <w:r>
        <w:rPr>
          <w:rFonts w:ascii="Times New Roman" w:hAnsi="Times New Roman" w:eastAsia="宋体"/>
          <w:b w:val="0"/>
          <w:i w:val="0"/>
          <w:color w:val="000000"/>
          <w:sz w:val="21"/>
        </w:rPr>
        <w:t>c) achievement of effective process performance;</w:t>
      </w:r>
    </w:p>
    <w:p w14:paraId="0768E3C2">
      <w:pPr>
        <w:spacing w:before="0" w:after="60"/>
        <w:ind w:left="357" w:hanging="357"/>
        <w:jc w:val="both"/>
      </w:pPr>
      <w:r>
        <w:rPr>
          <w:rFonts w:ascii="Times New Roman" w:hAnsi="Times New Roman" w:eastAsia="宋体"/>
          <w:b w:val="0"/>
          <w:i w:val="0"/>
          <w:color w:val="000000"/>
          <w:sz w:val="21"/>
        </w:rPr>
        <w:t>实现有效的过程绩效；</w:t>
      </w:r>
    </w:p>
    <w:p w14:paraId="14327B9D">
      <w:pPr>
        <w:keepNext/>
        <w:spacing w:before="20" w:after="0"/>
        <w:ind w:left="357" w:hanging="357"/>
        <w:jc w:val="both"/>
      </w:pPr>
      <w:r>
        <w:rPr>
          <w:rFonts w:ascii="Times New Roman" w:hAnsi="Times New Roman" w:eastAsia="宋体"/>
          <w:b w:val="0"/>
          <w:i w:val="0"/>
          <w:color w:val="000000"/>
          <w:sz w:val="21"/>
        </w:rPr>
        <w:t>d) improvement of processes based on the results of evaluation of data and information.</w:t>
      </w:r>
    </w:p>
    <w:p w14:paraId="419DA666">
      <w:pPr>
        <w:spacing w:before="0" w:after="60"/>
        <w:ind w:left="357" w:hanging="357"/>
        <w:jc w:val="both"/>
      </w:pPr>
      <w:r>
        <w:rPr>
          <w:rFonts w:ascii="Times New Roman" w:hAnsi="Times New Roman" w:eastAsia="宋体"/>
          <w:b w:val="0"/>
          <w:i w:val="0"/>
          <w:color w:val="000000"/>
          <w:sz w:val="21"/>
        </w:rPr>
        <w:t>基于数据和信息评价的结果改进过程。</w:t>
      </w:r>
    </w:p>
    <w:p w14:paraId="7B872BF9">
      <w:pPr>
        <w:keepNext/>
        <w:spacing w:before="60" w:after="0"/>
        <w:jc w:val="both"/>
      </w:pPr>
      <w:r>
        <w:rPr>
          <w:rFonts w:ascii="Times New Roman" w:hAnsi="Times New Roman" w:eastAsia="宋体"/>
          <w:b w:val="0"/>
          <w:i w:val="0"/>
          <w:color w:val="000000"/>
          <w:sz w:val="21"/>
        </w:rPr>
        <w:t>Figure 1 gives a schematic representation of any single process and shows the interaction of its elements. The monitoring and measuring check points, which are necessary for control, are specific to each process and will vary depending on the process steps and related risks.</w:t>
      </w:r>
    </w:p>
    <w:p w14:paraId="734F7C53">
      <w:pPr>
        <w:spacing w:before="0" w:after="100"/>
        <w:jc w:val="both"/>
        <w:rPr>
          <w:rFonts w:ascii="Times New Roman" w:hAnsi="Times New Roman" w:eastAsia="宋体"/>
          <w:b w:val="0"/>
          <w:i w:val="0"/>
          <w:color w:val="000000"/>
          <w:sz w:val="21"/>
        </w:rPr>
      </w:pPr>
      <w:r>
        <w:rPr>
          <w:rFonts w:ascii="Times New Roman" w:hAnsi="Times New Roman" w:eastAsia="宋体"/>
          <w:b w:val="0"/>
          <w:i w:val="0"/>
          <w:color w:val="000000"/>
          <w:sz w:val="21"/>
        </w:rPr>
        <w:t>图1给出了任一单个过程的示意图，展示了其各要素之间的相互作用。为实施控制所必需的监视和测量检查点针对每个过程而有所不同，并视过程步骤和相关风险而定。</w:t>
      </w:r>
    </w:p>
    <w:p w14:paraId="05152EB0">
      <w:pPr>
        <w:spacing w:before="0" w:after="100"/>
        <w:jc w:val="both"/>
        <w:rPr>
          <w:rFonts w:ascii="Times New Roman" w:hAnsi="Times New Roman" w:eastAsia="宋体"/>
          <w:b w:val="0"/>
          <w:i w:val="0"/>
          <w:color w:val="000000"/>
          <w:sz w:val="21"/>
        </w:rPr>
      </w:pPr>
    </w:p>
    <w:p w14:paraId="2AA0F764">
      <w:pPr>
        <w:spacing w:before="0" w:after="100"/>
        <w:jc w:val="both"/>
        <w:rPr>
          <w:rFonts w:ascii="Times New Roman" w:hAnsi="Times New Roman" w:eastAsia="宋体"/>
          <w:b w:val="0"/>
          <w:i w:val="0"/>
          <w:color w:val="000000"/>
          <w:sz w:val="21"/>
        </w:rPr>
      </w:pPr>
    </w:p>
    <w:p w14:paraId="1D32FF33">
      <w:pPr>
        <w:spacing w:before="0" w:after="100"/>
        <w:jc w:val="both"/>
        <w:rPr>
          <w:rFonts w:ascii="Times New Roman" w:hAnsi="Times New Roman" w:eastAsia="宋体"/>
          <w:b w:val="0"/>
          <w:i w:val="0"/>
          <w:color w:val="000000"/>
          <w:sz w:val="21"/>
        </w:rPr>
      </w:pPr>
      <w:r>
        <w:drawing>
          <wp:inline distT="0" distB="0" distL="114300" distR="114300">
            <wp:extent cx="5974080" cy="2459990"/>
            <wp:effectExtent l="0" t="0" r="7620" b="1651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6"/>
                    <a:stretch>
                      <a:fillRect/>
                    </a:stretch>
                  </pic:blipFill>
                  <pic:spPr>
                    <a:xfrm>
                      <a:off x="0" y="0"/>
                      <a:ext cx="5974080" cy="2459990"/>
                    </a:xfrm>
                    <a:prstGeom prst="rect">
                      <a:avLst/>
                    </a:prstGeom>
                    <a:noFill/>
                    <a:ln>
                      <a:noFill/>
                    </a:ln>
                  </pic:spPr>
                </pic:pic>
              </a:graphicData>
            </a:graphic>
          </wp:inline>
        </w:drawing>
      </w:r>
    </w:p>
    <w:p w14:paraId="1B0E8988">
      <w:pPr>
        <w:spacing w:before="0" w:after="100"/>
        <w:jc w:val="both"/>
        <w:rPr>
          <w:rFonts w:ascii="Times New Roman" w:hAnsi="Times New Roman" w:eastAsia="宋体"/>
          <w:b w:val="0"/>
          <w:i w:val="0"/>
          <w:color w:val="000000"/>
          <w:sz w:val="21"/>
        </w:rPr>
      </w:pPr>
    </w:p>
    <w:p w14:paraId="2FBF116D">
      <w:pPr>
        <w:keepNext/>
        <w:spacing w:before="160" w:after="0"/>
        <w:jc w:val="center"/>
      </w:pPr>
      <w:r>
        <w:rPr>
          <w:rFonts w:ascii="Times New Roman" w:hAnsi="Times New Roman" w:eastAsia="宋体"/>
          <w:b w:val="0"/>
          <w:i/>
          <w:color w:val="000000"/>
          <w:sz w:val="20"/>
        </w:rPr>
        <w:t>Figure 1 — Schematic representation of the elements of a single process</w:t>
      </w:r>
    </w:p>
    <w:p w14:paraId="11446510">
      <w:pPr>
        <w:spacing w:before="0" w:after="160"/>
        <w:jc w:val="center"/>
      </w:pPr>
      <w:r>
        <w:rPr>
          <w:rFonts w:ascii="Times New Roman" w:hAnsi="Times New Roman" w:eastAsia="宋体"/>
          <w:b w:val="0"/>
          <w:i w:val="0"/>
          <w:color w:val="000000"/>
          <w:sz w:val="20"/>
        </w:rPr>
        <w:t>图1 — 单个过程各要素的示意图</w:t>
      </w:r>
    </w:p>
    <w:p w14:paraId="6A352A32">
      <w:pPr>
        <w:keepNext/>
        <w:spacing w:before="200" w:after="0"/>
        <w:jc w:val="left"/>
      </w:pPr>
      <w:r>
        <w:rPr>
          <w:rFonts w:ascii="Times New Roman" w:hAnsi="Times New Roman" w:eastAsia="宋体"/>
          <w:b/>
          <w:i w:val="0"/>
          <w:color w:val="000000"/>
          <w:sz w:val="22"/>
        </w:rPr>
        <w:t>0.3.2  Plan-Do-Check-Act cycle</w:t>
      </w:r>
    </w:p>
    <w:p w14:paraId="2C111CAB">
      <w:pPr>
        <w:spacing w:before="0" w:after="80"/>
        <w:jc w:val="left"/>
      </w:pPr>
      <w:r>
        <w:rPr>
          <w:rFonts w:ascii="Times New Roman" w:hAnsi="Times New Roman" w:eastAsia="黑体"/>
          <w:b w:val="0"/>
          <w:i w:val="0"/>
          <w:color w:val="000000"/>
          <w:sz w:val="22"/>
        </w:rPr>
        <w:t>0.3.2  策划—实施—检查—处置（PDCA）循环</w:t>
      </w:r>
    </w:p>
    <w:p w14:paraId="0C9A49E8">
      <w:pPr>
        <w:keepNext/>
        <w:spacing w:before="60" w:after="0"/>
        <w:jc w:val="both"/>
      </w:pPr>
      <w:r>
        <w:rPr>
          <w:rFonts w:ascii="Times New Roman" w:hAnsi="Times New Roman" w:eastAsia="宋体"/>
          <w:b w:val="0"/>
          <w:i w:val="0"/>
          <w:color w:val="000000"/>
          <w:sz w:val="21"/>
        </w:rPr>
        <w:t>The PDCA cycle can be briefly described as follows:</w:t>
      </w:r>
    </w:p>
    <w:p w14:paraId="3C675856">
      <w:pPr>
        <w:spacing w:before="0" w:after="100"/>
        <w:jc w:val="both"/>
      </w:pPr>
      <w:r>
        <w:rPr>
          <w:rFonts w:ascii="Times New Roman" w:hAnsi="Times New Roman" w:eastAsia="宋体"/>
          <w:b w:val="0"/>
          <w:i w:val="0"/>
          <w:color w:val="000000"/>
          <w:sz w:val="21"/>
        </w:rPr>
        <w:t>PDCA循环可简要描述如下：</w:t>
      </w:r>
    </w:p>
    <w:p w14:paraId="0C434E37">
      <w:pPr>
        <w:keepNext/>
        <w:spacing w:before="20" w:after="0"/>
        <w:ind w:left="357" w:hanging="357"/>
        <w:jc w:val="both"/>
      </w:pPr>
      <w:r>
        <w:rPr>
          <w:rFonts w:ascii="Times New Roman" w:hAnsi="Times New Roman" w:eastAsia="宋体"/>
          <w:b w:val="0"/>
          <w:i w:val="0"/>
          <w:color w:val="000000"/>
          <w:sz w:val="21"/>
        </w:rPr>
        <w:t>— Plan: Establish the objectives of the system and its processes, and the resources needed to deliver results in accordance with customer and other relevant interested party requirements and the organization's policies, and determine and address risks and opportunities.</w:t>
      </w:r>
    </w:p>
    <w:p w14:paraId="0921B026">
      <w:pPr>
        <w:spacing w:before="0" w:after="60"/>
        <w:ind w:left="357" w:hanging="357"/>
        <w:jc w:val="both"/>
      </w:pPr>
      <w:r>
        <w:rPr>
          <w:rFonts w:ascii="Times New Roman" w:hAnsi="Times New Roman" w:eastAsia="宋体"/>
          <w:b w:val="0"/>
          <w:i w:val="0"/>
          <w:color w:val="000000"/>
          <w:sz w:val="21"/>
        </w:rPr>
        <w:t>—— 策划（Plan）：根据顾客和其他相关方的要求以及组织的方针，建立体系及其过程的目标，确定实现结果所需的资源，并确定和应对风险和机遇。</w:t>
      </w:r>
    </w:p>
    <w:p w14:paraId="58306B13">
      <w:pPr>
        <w:keepNext/>
        <w:spacing w:before="20" w:after="0"/>
        <w:ind w:left="357" w:hanging="357"/>
        <w:jc w:val="both"/>
      </w:pPr>
      <w:r>
        <w:rPr>
          <w:rFonts w:ascii="Times New Roman" w:hAnsi="Times New Roman" w:eastAsia="宋体"/>
          <w:b w:val="0"/>
          <w:i w:val="0"/>
          <w:color w:val="000000"/>
          <w:sz w:val="21"/>
        </w:rPr>
        <w:t>— Do: Implement what was planned.</w:t>
      </w:r>
    </w:p>
    <w:p w14:paraId="5D5634A8">
      <w:pPr>
        <w:spacing w:before="0" w:after="60"/>
        <w:ind w:left="357" w:hanging="357"/>
        <w:jc w:val="both"/>
      </w:pPr>
      <w:r>
        <w:rPr>
          <w:rFonts w:ascii="Times New Roman" w:hAnsi="Times New Roman" w:eastAsia="宋体"/>
          <w:b w:val="0"/>
          <w:i w:val="0"/>
          <w:color w:val="000000"/>
          <w:sz w:val="21"/>
        </w:rPr>
        <w:t>—— 实施（Do）：执行所做的策划。</w:t>
      </w:r>
    </w:p>
    <w:p w14:paraId="53F1E518">
      <w:pPr>
        <w:keepNext/>
        <w:spacing w:before="20" w:after="0"/>
        <w:ind w:left="357" w:hanging="357"/>
        <w:jc w:val="both"/>
      </w:pPr>
      <w:r>
        <w:rPr>
          <w:rFonts w:ascii="Times New Roman" w:hAnsi="Times New Roman" w:eastAsia="宋体"/>
          <w:b w:val="0"/>
          <w:i w:val="0"/>
          <w:color w:val="000000"/>
          <w:sz w:val="21"/>
        </w:rPr>
        <w:t>— Check: Monitor and, as applicable, measure processes and the resulting products and services against policies, objectives, requirements and planned activities, and report the results.</w:t>
      </w:r>
    </w:p>
    <w:p w14:paraId="266E334B">
      <w:pPr>
        <w:spacing w:before="0" w:after="60"/>
        <w:ind w:left="357" w:hanging="357"/>
        <w:jc w:val="both"/>
      </w:pPr>
      <w:r>
        <w:rPr>
          <w:rFonts w:ascii="Times New Roman" w:hAnsi="Times New Roman" w:eastAsia="宋体"/>
          <w:b w:val="0"/>
          <w:i w:val="0"/>
          <w:color w:val="000000"/>
          <w:sz w:val="21"/>
        </w:rPr>
        <w:t>—— 检查（Check）：对照方针、目标、要求和所策划的活动，对过程以及由此形成的产品和服务进行监视，并适用时进行测量，同时报告结果。</w:t>
      </w:r>
    </w:p>
    <w:p w14:paraId="5ED3C2FC">
      <w:pPr>
        <w:keepNext/>
        <w:spacing w:before="20" w:after="0"/>
        <w:ind w:left="357" w:hanging="357"/>
        <w:jc w:val="both"/>
      </w:pPr>
      <w:r>
        <w:rPr>
          <w:rFonts w:ascii="Times New Roman" w:hAnsi="Times New Roman" w:eastAsia="宋体"/>
          <w:b w:val="0"/>
          <w:i w:val="0"/>
          <w:color w:val="000000"/>
          <w:sz w:val="21"/>
        </w:rPr>
        <w:t>— Act: Take actions to improve the performance of the quality management system.</w:t>
      </w:r>
    </w:p>
    <w:p w14:paraId="16B0A0FE">
      <w:pPr>
        <w:spacing w:before="0" w:after="60"/>
        <w:ind w:left="357" w:hanging="357"/>
        <w:jc w:val="both"/>
      </w:pPr>
      <w:r>
        <w:rPr>
          <w:rFonts w:ascii="Times New Roman" w:hAnsi="Times New Roman" w:eastAsia="宋体"/>
          <w:b w:val="0"/>
          <w:i w:val="0"/>
          <w:color w:val="000000"/>
          <w:sz w:val="21"/>
        </w:rPr>
        <w:t>—— 处置（Act）：采取措施改进质量管理体系的绩效。</w:t>
      </w:r>
    </w:p>
    <w:p w14:paraId="5FD75590">
      <w:pPr>
        <w:keepNext/>
        <w:spacing w:before="60" w:after="0"/>
        <w:jc w:val="both"/>
      </w:pPr>
      <w:r>
        <w:rPr>
          <w:rFonts w:ascii="Times New Roman" w:hAnsi="Times New Roman" w:eastAsia="宋体"/>
          <w:b w:val="0"/>
          <w:i w:val="0"/>
          <w:color w:val="000000"/>
          <w:sz w:val="21"/>
        </w:rPr>
        <w:t>The PDCA cycle can be applied to all processes and to the quality management system as a whole. Figure 2 illustrates how Clause 4 to Clause 10 can be grouped in relation to the PDCA cycle.</w:t>
      </w:r>
    </w:p>
    <w:p w14:paraId="36F0A49B">
      <w:pPr>
        <w:spacing w:before="0" w:after="100"/>
        <w:jc w:val="both"/>
      </w:pPr>
      <w:r>
        <w:rPr>
          <w:rFonts w:ascii="Times New Roman" w:hAnsi="Times New Roman" w:eastAsia="宋体"/>
          <w:b w:val="0"/>
          <w:i w:val="0"/>
          <w:color w:val="000000"/>
          <w:sz w:val="21"/>
        </w:rPr>
        <w:t>PDCA循环可应用于所有过程以及整个质量管理体系。图2展示了本文件第4章至第10章可如何按照PDCA循环加以归组。</w:t>
      </w:r>
    </w:p>
    <w:p w14:paraId="52C69FBC">
      <w:pPr>
        <w:keepNext/>
        <w:spacing w:before="160" w:after="0"/>
        <w:jc w:val="center"/>
      </w:pPr>
      <w:r>
        <w:rPr>
          <w:rFonts w:ascii="Times New Roman" w:hAnsi="Times New Roman" w:eastAsia="宋体"/>
          <w:b w:val="0"/>
          <w:i/>
          <w:color w:val="000000"/>
          <w:sz w:val="20"/>
        </w:rPr>
        <w:t>Figure 2 — Representation of the structure of this document in the PDCA cycle</w:t>
      </w:r>
    </w:p>
    <w:p w14:paraId="413ED45B">
      <w:pPr>
        <w:spacing w:before="0" w:after="160"/>
        <w:jc w:val="center"/>
      </w:pPr>
      <w:r>
        <w:rPr>
          <w:rFonts w:ascii="Times New Roman" w:hAnsi="Times New Roman" w:eastAsia="宋体"/>
          <w:b w:val="0"/>
          <w:i w:val="0"/>
          <w:color w:val="000000"/>
          <w:sz w:val="20"/>
        </w:rPr>
        <w:t>图2 — 本文件结构在PDCA循环中的表示</w:t>
      </w:r>
    </w:p>
    <w:p w14:paraId="46170939">
      <w:pPr>
        <w:keepNext/>
        <w:spacing w:before="20" w:after="0"/>
        <w:ind w:left="227"/>
        <w:jc w:val="both"/>
      </w:pPr>
      <w:r>
        <w:rPr>
          <w:rFonts w:ascii="Times New Roman" w:hAnsi="Times New Roman" w:eastAsia="宋体"/>
          <w:b w:val="0"/>
          <w:i/>
          <w:color w:val="000000"/>
          <w:sz w:val="20"/>
        </w:rPr>
        <w:t>NOTE — Numbers in brackets refer to the clauses in this document.</w:t>
      </w:r>
    </w:p>
    <w:p w14:paraId="143A32B2">
      <w:pPr>
        <w:spacing w:before="0" w:after="100"/>
        <w:ind w:left="227"/>
        <w:jc w:val="both"/>
      </w:pPr>
      <w:r>
        <w:rPr>
          <w:rFonts w:ascii="Times New Roman" w:hAnsi="Times New Roman" w:eastAsia="宋体"/>
          <w:b w:val="0"/>
          <w:i w:val="0"/>
          <w:color w:val="000000"/>
          <w:sz w:val="20"/>
        </w:rPr>
        <w:t>注：括号中的数字指本文件的章节号。</w:t>
      </w:r>
    </w:p>
    <w:p w14:paraId="0D3B74CD">
      <w:pPr>
        <w:keepNext/>
        <w:spacing w:before="240" w:after="0"/>
        <w:jc w:val="left"/>
      </w:pPr>
      <w:r>
        <w:rPr>
          <w:rFonts w:ascii="Times New Roman" w:hAnsi="Times New Roman" w:eastAsia="宋体"/>
          <w:b/>
          <w:i w:val="0"/>
          <w:color w:val="000000"/>
          <w:sz w:val="24"/>
        </w:rPr>
        <w:t>0.4  Relationship with other management system standards</w:t>
      </w:r>
    </w:p>
    <w:p w14:paraId="294554BD">
      <w:pPr>
        <w:spacing w:before="0" w:after="80"/>
        <w:jc w:val="left"/>
      </w:pPr>
      <w:r>
        <w:rPr>
          <w:rFonts w:ascii="Times New Roman" w:hAnsi="Times New Roman" w:eastAsia="黑体"/>
          <w:b w:val="0"/>
          <w:i w:val="0"/>
          <w:color w:val="000000"/>
          <w:sz w:val="24"/>
        </w:rPr>
        <w:t>0.4  与其他管理体系标准的关系</w:t>
      </w:r>
    </w:p>
    <w:p w14:paraId="11547453">
      <w:pPr>
        <w:keepNext/>
        <w:spacing w:before="60" w:after="0"/>
        <w:jc w:val="both"/>
      </w:pPr>
      <w:r>
        <w:rPr>
          <w:rFonts w:ascii="Times New Roman" w:hAnsi="Times New Roman" w:eastAsia="宋体"/>
          <w:b w:val="0"/>
          <w:i w:val="0"/>
          <w:color w:val="000000"/>
          <w:sz w:val="21"/>
        </w:rPr>
        <w:t>This document applies the harmonized approach as published in the ISO/IEC Directives related to the development of management system standards. The intention is to support alignment and facilitate the integration of the requirements and recommendations of one or more management system standards into an organization's management system.</w:t>
      </w:r>
    </w:p>
    <w:p w14:paraId="461D0CA3">
      <w:pPr>
        <w:spacing w:before="0" w:after="100"/>
        <w:jc w:val="both"/>
      </w:pPr>
      <w:r>
        <w:rPr>
          <w:rFonts w:ascii="Times New Roman" w:hAnsi="Times New Roman" w:eastAsia="宋体"/>
          <w:b w:val="0"/>
          <w:i w:val="0"/>
          <w:color w:val="000000"/>
          <w:sz w:val="21"/>
        </w:rPr>
        <w:t>本文件采用了ISO/IEC导则中发布的、与管理体系标准制定相关的协调一致的方法。其意图是支持协调一致，并促进将一个或多个管理体系标准的要求和建议融入组织的管理体系。</w:t>
      </w:r>
    </w:p>
    <w:p w14:paraId="7B98A9AD">
      <w:pPr>
        <w:keepNext/>
        <w:spacing w:before="60" w:after="0"/>
        <w:jc w:val="both"/>
      </w:pPr>
      <w:r>
        <w:rPr>
          <w:rFonts w:ascii="Times New Roman" w:hAnsi="Times New Roman" w:eastAsia="宋体"/>
          <w:b w:val="0"/>
          <w:i w:val="0"/>
          <w:color w:val="000000"/>
          <w:sz w:val="21"/>
        </w:rPr>
        <w:t>For more information, see https://www.iso.org/management-system-standards.html.</w:t>
      </w:r>
    </w:p>
    <w:p w14:paraId="61E718E1">
      <w:pPr>
        <w:spacing w:before="0" w:after="100"/>
        <w:jc w:val="both"/>
      </w:pPr>
      <w:r>
        <w:rPr>
          <w:rFonts w:ascii="Times New Roman" w:hAnsi="Times New Roman" w:eastAsia="宋体"/>
          <w:b w:val="0"/>
          <w:i w:val="0"/>
          <w:color w:val="000000"/>
          <w:sz w:val="21"/>
        </w:rPr>
        <w:t>更多信息见 https://www.iso.org/management-system-standards.html。</w:t>
      </w:r>
    </w:p>
    <w:p w14:paraId="1251DFA6">
      <w:pPr>
        <w:keepNext/>
        <w:spacing w:before="60" w:after="0"/>
        <w:jc w:val="both"/>
      </w:pPr>
      <w:r>
        <w:rPr>
          <w:rFonts w:ascii="Times New Roman" w:hAnsi="Times New Roman" w:eastAsia="宋体"/>
          <w:b w:val="0"/>
          <w:i w:val="0"/>
          <w:color w:val="000000"/>
          <w:sz w:val="21"/>
        </w:rPr>
        <w:t>This document provides a basis for an organization to apply the process approach, coupled with the PDCA cycle, risk-based thinking and opportunity-based thinking, in order to align or integrate its quality management system with the requirements of other management system standards.</w:t>
      </w:r>
    </w:p>
    <w:p w14:paraId="4EB32369">
      <w:pPr>
        <w:spacing w:before="0" w:after="100"/>
        <w:jc w:val="both"/>
      </w:pPr>
      <w:r>
        <w:rPr>
          <w:rFonts w:ascii="Times New Roman" w:hAnsi="Times New Roman" w:eastAsia="宋体"/>
          <w:b w:val="0"/>
          <w:i w:val="0"/>
          <w:color w:val="000000"/>
          <w:sz w:val="21"/>
        </w:rPr>
        <w:t>本文件为组织应用过程方法提供了基础，将过程方法与PDCA循环、基于风险的思维和基于机遇的思维相结合，以使组织的质量管理体系与其他管理体系标准的要求保持一致或相融合。</w:t>
      </w:r>
    </w:p>
    <w:p w14:paraId="7D18D48B">
      <w:pPr>
        <w:keepNext/>
        <w:spacing w:before="60" w:after="0"/>
        <w:jc w:val="both"/>
      </w:pPr>
      <w:r>
        <w:rPr>
          <w:rFonts w:ascii="Times New Roman" w:hAnsi="Times New Roman" w:eastAsia="宋体"/>
          <w:b w:val="0"/>
          <w:i w:val="0"/>
          <w:color w:val="000000"/>
          <w:sz w:val="21"/>
        </w:rPr>
        <w:t>This document relates to the following standards:</w:t>
      </w:r>
    </w:p>
    <w:p w14:paraId="671E7279">
      <w:pPr>
        <w:spacing w:before="0" w:after="100"/>
        <w:jc w:val="both"/>
      </w:pPr>
      <w:r>
        <w:rPr>
          <w:rFonts w:ascii="Times New Roman" w:hAnsi="Times New Roman" w:eastAsia="宋体"/>
          <w:b w:val="0"/>
          <w:i w:val="0"/>
          <w:color w:val="000000"/>
          <w:sz w:val="21"/>
        </w:rPr>
        <w:t>本文件与下列标准相关：</w:t>
      </w:r>
    </w:p>
    <w:p w14:paraId="10172C8E">
      <w:pPr>
        <w:keepNext/>
        <w:spacing w:before="20" w:after="0"/>
        <w:ind w:left="357" w:hanging="357"/>
        <w:jc w:val="both"/>
      </w:pPr>
      <w:r>
        <w:rPr>
          <w:rFonts w:ascii="Times New Roman" w:hAnsi="Times New Roman" w:eastAsia="宋体"/>
          <w:b w:val="0"/>
          <w:i w:val="0"/>
          <w:color w:val="000000"/>
          <w:sz w:val="21"/>
        </w:rPr>
        <w:t>a) ISO 9000 provides the fundamental concepts and vocabulary essential for understanding the requirements of this document;</w:t>
      </w:r>
    </w:p>
    <w:p w14:paraId="56F4B6EA">
      <w:pPr>
        <w:spacing w:before="0" w:after="60"/>
        <w:ind w:left="357" w:hanging="357"/>
        <w:jc w:val="both"/>
      </w:pPr>
      <w:r>
        <w:rPr>
          <w:rFonts w:ascii="Times New Roman" w:hAnsi="Times New Roman" w:eastAsia="宋体"/>
          <w:b w:val="0"/>
          <w:i w:val="0"/>
          <w:color w:val="000000"/>
          <w:sz w:val="21"/>
        </w:rPr>
        <w:t>ISO 9000为理解本文件的要求提供了必不可少的基本概念和词汇；</w:t>
      </w:r>
    </w:p>
    <w:p w14:paraId="0DF06A82">
      <w:pPr>
        <w:keepNext/>
        <w:spacing w:before="20" w:after="0"/>
        <w:ind w:left="357" w:hanging="357"/>
        <w:jc w:val="both"/>
      </w:pPr>
      <w:r>
        <w:rPr>
          <w:rFonts w:ascii="Times New Roman" w:hAnsi="Times New Roman" w:eastAsia="宋体"/>
          <w:b w:val="0"/>
          <w:i w:val="0"/>
          <w:color w:val="000000"/>
          <w:sz w:val="21"/>
        </w:rPr>
        <w:t>b) ISO 9002 provides guidance on the application of the requirements of this document;</w:t>
      </w:r>
    </w:p>
    <w:p w14:paraId="6291D3E8">
      <w:pPr>
        <w:spacing w:before="0" w:after="60"/>
        <w:ind w:left="357" w:hanging="357"/>
        <w:jc w:val="both"/>
      </w:pPr>
      <w:r>
        <w:rPr>
          <w:rFonts w:ascii="Times New Roman" w:hAnsi="Times New Roman" w:eastAsia="宋体"/>
          <w:b w:val="0"/>
          <w:i w:val="0"/>
          <w:color w:val="000000"/>
          <w:sz w:val="21"/>
        </w:rPr>
        <w:t>ISO 9002提供本文件要求的应用指南；</w:t>
      </w:r>
    </w:p>
    <w:p w14:paraId="733EEF0F">
      <w:pPr>
        <w:keepNext/>
        <w:spacing w:before="20" w:after="0"/>
        <w:ind w:left="357" w:hanging="357"/>
        <w:jc w:val="both"/>
      </w:pPr>
      <w:r>
        <w:rPr>
          <w:rFonts w:ascii="Times New Roman" w:hAnsi="Times New Roman" w:eastAsia="宋体"/>
          <w:b w:val="0"/>
          <w:i w:val="0"/>
          <w:color w:val="000000"/>
          <w:sz w:val="21"/>
        </w:rPr>
        <w:t>c) ISO 9004 provides guidance on enhancing the quality of an organization and its ability to achieve sustained success.</w:t>
      </w:r>
    </w:p>
    <w:p w14:paraId="11C8BCDE">
      <w:pPr>
        <w:spacing w:before="0" w:after="60"/>
        <w:ind w:left="357" w:hanging="357"/>
        <w:jc w:val="both"/>
      </w:pPr>
      <w:r>
        <w:rPr>
          <w:rFonts w:ascii="Times New Roman" w:hAnsi="Times New Roman" w:eastAsia="宋体"/>
          <w:b w:val="0"/>
          <w:i w:val="0"/>
          <w:color w:val="000000"/>
          <w:sz w:val="21"/>
        </w:rPr>
        <w:t>ISO 9004为增强组织的质量及其实现持续成功的能力提供指南。</w:t>
      </w:r>
    </w:p>
    <w:p w14:paraId="0E07CA1B">
      <w:pPr>
        <w:keepNext/>
        <w:spacing w:before="60" w:after="0"/>
        <w:jc w:val="both"/>
      </w:pPr>
      <w:r>
        <w:rPr>
          <w:rFonts w:ascii="Times New Roman" w:hAnsi="Times New Roman" w:eastAsia="宋体"/>
          <w:b w:val="0"/>
          <w:i w:val="0"/>
          <w:color w:val="000000"/>
          <w:sz w:val="21"/>
        </w:rPr>
        <w:t>This document does not include requirements specific to other management systems, such as those for environmental management, occupational health and safety management, or asset management.</w:t>
      </w:r>
    </w:p>
    <w:p w14:paraId="51DB1CDB">
      <w:pPr>
        <w:spacing w:before="0" w:after="100"/>
        <w:jc w:val="both"/>
      </w:pPr>
      <w:r>
        <w:rPr>
          <w:rFonts w:ascii="Times New Roman" w:hAnsi="Times New Roman" w:eastAsia="宋体"/>
          <w:b w:val="0"/>
          <w:i w:val="0"/>
          <w:color w:val="000000"/>
          <w:sz w:val="21"/>
        </w:rPr>
        <w:t>本文件不包括针对其他管理体系（如环境管理、职业健康安全管理或资产管理）的特定要求。</w:t>
      </w:r>
    </w:p>
    <w:p w14:paraId="158E63B3">
      <w:pPr>
        <w:keepNext/>
        <w:spacing w:before="60" w:after="0"/>
        <w:jc w:val="both"/>
      </w:pPr>
      <w:r>
        <w:rPr>
          <w:rFonts w:ascii="Times New Roman" w:hAnsi="Times New Roman" w:eastAsia="宋体"/>
          <w:b w:val="0"/>
          <w:i w:val="0"/>
          <w:color w:val="000000"/>
          <w:sz w:val="21"/>
        </w:rPr>
        <w:t>Sector-specific ISO quality management system standards based on the requirements of this document have been developed. Some of these standards specify additional quality management system requirements, while others are limited to providing guidance to the application of this document within the particular sector.</w:t>
      </w:r>
    </w:p>
    <w:p w14:paraId="66159B89">
      <w:pPr>
        <w:spacing w:before="0" w:after="100"/>
        <w:jc w:val="both"/>
      </w:pPr>
      <w:r>
        <w:rPr>
          <w:rFonts w:ascii="Times New Roman" w:hAnsi="Times New Roman" w:eastAsia="宋体"/>
          <w:b w:val="0"/>
          <w:i w:val="0"/>
          <w:color w:val="000000"/>
          <w:sz w:val="21"/>
        </w:rPr>
        <w:t>基于本文件要求的行业专用ISO质量管理体系标准已经制定。其中一些标准规定了附加的质量管理体系要求，另一些标准则仅限于提供本文件在特定行业应用的指南。</w:t>
      </w:r>
    </w:p>
    <w:p w14:paraId="43D82711">
      <w:pPr>
        <w:keepNext/>
        <w:spacing w:before="320" w:after="0"/>
        <w:jc w:val="left"/>
      </w:pPr>
      <w:r>
        <w:rPr>
          <w:rFonts w:ascii="Times New Roman" w:hAnsi="Times New Roman" w:eastAsia="宋体"/>
          <w:b/>
          <w:i w:val="0"/>
          <w:color w:val="000000"/>
          <w:sz w:val="28"/>
        </w:rPr>
        <w:t>1  Scope</w:t>
      </w:r>
    </w:p>
    <w:p w14:paraId="154E385E">
      <w:pPr>
        <w:pBdr>
          <w:bottom w:val="single" w:color="C01E2E" w:sz="8" w:space="2"/>
        </w:pBdr>
        <w:spacing w:before="0" w:after="100"/>
        <w:jc w:val="left"/>
      </w:pPr>
      <w:r>
        <w:rPr>
          <w:rFonts w:ascii="Times New Roman" w:hAnsi="Times New Roman" w:eastAsia="黑体"/>
          <w:b w:val="0"/>
          <w:i w:val="0"/>
          <w:color w:val="000000"/>
          <w:sz w:val="28"/>
        </w:rPr>
        <w:t>1  范围</w:t>
      </w:r>
    </w:p>
    <w:p w14:paraId="6C91298E">
      <w:pPr>
        <w:keepNext/>
        <w:spacing w:before="60" w:after="0"/>
        <w:jc w:val="both"/>
      </w:pPr>
      <w:r>
        <w:rPr>
          <w:rFonts w:ascii="Times New Roman" w:hAnsi="Times New Roman" w:eastAsia="宋体"/>
          <w:b w:val="0"/>
          <w:i w:val="0"/>
          <w:color w:val="000000"/>
          <w:sz w:val="21"/>
        </w:rPr>
        <w:t>This document specifies requirements for a quality management system when an organization:</w:t>
      </w:r>
    </w:p>
    <w:p w14:paraId="05354422">
      <w:pPr>
        <w:spacing w:before="0" w:after="100"/>
        <w:jc w:val="both"/>
      </w:pPr>
      <w:r>
        <w:rPr>
          <w:rFonts w:ascii="Times New Roman" w:hAnsi="Times New Roman" w:eastAsia="宋体"/>
          <w:b w:val="0"/>
          <w:i w:val="0"/>
          <w:color w:val="000000"/>
          <w:sz w:val="21"/>
        </w:rPr>
        <w:t>本文件在下列情况下规定了质量管理体系要求：</w:t>
      </w:r>
    </w:p>
    <w:p w14:paraId="49793681">
      <w:pPr>
        <w:keepNext/>
        <w:spacing w:before="20" w:after="0"/>
        <w:ind w:left="357" w:hanging="357"/>
        <w:jc w:val="both"/>
      </w:pPr>
      <w:r>
        <w:rPr>
          <w:rFonts w:ascii="Times New Roman" w:hAnsi="Times New Roman" w:eastAsia="宋体"/>
          <w:b w:val="0"/>
          <w:i w:val="0"/>
          <w:color w:val="000000"/>
          <w:sz w:val="21"/>
        </w:rPr>
        <w:t>a) needs to demonstrate its ability to consistently provide products and services that meet customer and applicable statutory and regulatory requirements;</w:t>
      </w:r>
    </w:p>
    <w:p w14:paraId="28BEE5E0">
      <w:pPr>
        <w:spacing w:before="0" w:after="60"/>
        <w:ind w:left="357" w:hanging="357"/>
        <w:jc w:val="both"/>
      </w:pPr>
      <w:r>
        <w:rPr>
          <w:rFonts w:ascii="Times New Roman" w:hAnsi="Times New Roman" w:eastAsia="宋体"/>
          <w:b w:val="0"/>
          <w:i w:val="0"/>
          <w:color w:val="000000"/>
          <w:sz w:val="21"/>
        </w:rPr>
        <w:t>a) 需要证实其具有稳定提供满足顾客要求以及适用的法律法规要求的产品和服务的能力；</w:t>
      </w:r>
    </w:p>
    <w:p w14:paraId="03B2728F">
      <w:pPr>
        <w:keepNext/>
        <w:spacing w:before="20" w:after="0"/>
        <w:ind w:left="357" w:hanging="357"/>
        <w:jc w:val="both"/>
      </w:pPr>
      <w:r>
        <w:rPr>
          <w:rFonts w:ascii="Times New Roman" w:hAnsi="Times New Roman" w:eastAsia="宋体"/>
          <w:b w:val="0"/>
          <w:i w:val="0"/>
          <w:color w:val="000000"/>
          <w:sz w:val="21"/>
        </w:rPr>
        <w:t>b) aims to enhance customer satisfaction through the effective application of the system, including processes for improvement of the system and the assurance of conformity to customer and applicable statutory and regulatory requirements.</w:t>
      </w:r>
    </w:p>
    <w:p w14:paraId="50918634">
      <w:pPr>
        <w:spacing w:before="0" w:after="60"/>
        <w:ind w:left="357" w:hanging="357"/>
        <w:jc w:val="both"/>
      </w:pPr>
      <w:r>
        <w:rPr>
          <w:rFonts w:ascii="Times New Roman" w:hAnsi="Times New Roman" w:eastAsia="宋体"/>
          <w:b w:val="0"/>
          <w:i w:val="0"/>
          <w:color w:val="000000"/>
          <w:sz w:val="21"/>
        </w:rPr>
        <w:t>b) 旨在通过体系的有效应用，包括体系改进的过程，以及保证符合顾客要求与适用的法律法规要求，以增强顾客满意。</w:t>
      </w:r>
    </w:p>
    <w:p w14:paraId="5FCAC5D8">
      <w:pPr>
        <w:keepNext/>
        <w:spacing w:before="60" w:after="0"/>
        <w:jc w:val="both"/>
      </w:pPr>
      <w:r>
        <w:rPr>
          <w:rFonts w:ascii="Times New Roman" w:hAnsi="Times New Roman" w:eastAsia="宋体"/>
          <w:b w:val="0"/>
          <w:i w:val="0"/>
          <w:color w:val="000000"/>
          <w:sz w:val="21"/>
        </w:rPr>
        <w:t>All the requirements of this document are generic.</w:t>
      </w:r>
    </w:p>
    <w:p w14:paraId="3E8B7911">
      <w:pPr>
        <w:spacing w:before="0" w:after="100"/>
        <w:jc w:val="both"/>
      </w:pPr>
      <w:r>
        <w:rPr>
          <w:rFonts w:ascii="Times New Roman" w:hAnsi="Times New Roman" w:eastAsia="宋体"/>
          <w:b w:val="0"/>
          <w:i w:val="0"/>
          <w:color w:val="000000"/>
          <w:sz w:val="21"/>
        </w:rPr>
        <w:t>本文件规定的所有要求都是通用的。</w:t>
      </w:r>
    </w:p>
    <w:p w14:paraId="766EDD90">
      <w:pPr>
        <w:keepNext/>
        <w:spacing w:before="60" w:after="0"/>
        <w:jc w:val="both"/>
      </w:pPr>
      <w:r>
        <w:rPr>
          <w:rFonts w:ascii="Times New Roman" w:hAnsi="Times New Roman" w:eastAsia="宋体"/>
          <w:b w:val="0"/>
          <w:i w:val="0"/>
          <w:color w:val="000000"/>
          <w:sz w:val="21"/>
        </w:rPr>
        <w:t>This document is applicable to any organization, regardless of its type or size, or the products and services it provides.</w:t>
      </w:r>
    </w:p>
    <w:p w14:paraId="437527DC">
      <w:pPr>
        <w:spacing w:before="0" w:after="100"/>
        <w:jc w:val="both"/>
      </w:pPr>
      <w:r>
        <w:rPr>
          <w:rFonts w:ascii="Times New Roman" w:hAnsi="Times New Roman" w:eastAsia="宋体"/>
          <w:b w:val="0"/>
          <w:i w:val="0"/>
          <w:color w:val="000000"/>
          <w:sz w:val="21"/>
        </w:rPr>
        <w:t>本文件适用于任何组织，无论其类型、规模，或所提供的产品和服务如何。</w:t>
      </w:r>
    </w:p>
    <w:p w14:paraId="1F0C70BC">
      <w:pPr>
        <w:keepNext/>
        <w:spacing w:before="20" w:after="0"/>
        <w:ind w:left="227"/>
        <w:jc w:val="both"/>
      </w:pPr>
      <w:r>
        <w:rPr>
          <w:rFonts w:ascii="Times New Roman" w:hAnsi="Times New Roman" w:eastAsia="宋体"/>
          <w:b w:val="0"/>
          <w:i/>
          <w:color w:val="000000"/>
          <w:sz w:val="20"/>
        </w:rPr>
        <w:t>NOTE 1 — In this document, the terms “product” or “service” only apply to products and services intended for, or required by, a customer.</w:t>
      </w:r>
    </w:p>
    <w:p w14:paraId="5225FDF6">
      <w:pPr>
        <w:spacing w:before="0" w:after="100"/>
        <w:ind w:left="227"/>
        <w:jc w:val="both"/>
      </w:pPr>
      <w:r>
        <w:rPr>
          <w:rFonts w:ascii="Times New Roman" w:hAnsi="Times New Roman" w:eastAsia="宋体"/>
          <w:b w:val="0"/>
          <w:i w:val="0"/>
          <w:color w:val="000000"/>
          <w:sz w:val="20"/>
        </w:rPr>
        <w:t>注1：在本文件中，术语“产品”或“服务”仅适用于预期提供给顾客的、或顾客所要求的产品和服务。</w:t>
      </w:r>
    </w:p>
    <w:p w14:paraId="78D3EF5A">
      <w:pPr>
        <w:keepNext/>
        <w:spacing w:before="20" w:after="0"/>
        <w:ind w:left="227"/>
        <w:jc w:val="both"/>
      </w:pPr>
      <w:r>
        <w:rPr>
          <w:rFonts w:ascii="Times New Roman" w:hAnsi="Times New Roman" w:eastAsia="宋体"/>
          <w:b w:val="0"/>
          <w:i/>
          <w:color w:val="000000"/>
          <w:sz w:val="20"/>
        </w:rPr>
        <w:t>NOTE 2 — Statutory and regulatory requirements can be expressed as legal requirements.</w:t>
      </w:r>
    </w:p>
    <w:p w14:paraId="37A59F75">
      <w:pPr>
        <w:spacing w:before="0" w:after="100"/>
        <w:ind w:left="227"/>
        <w:jc w:val="both"/>
      </w:pPr>
      <w:r>
        <w:rPr>
          <w:rFonts w:ascii="Times New Roman" w:hAnsi="Times New Roman" w:eastAsia="宋体"/>
          <w:b w:val="0"/>
          <w:i w:val="0"/>
          <w:color w:val="000000"/>
          <w:sz w:val="20"/>
        </w:rPr>
        <w:t>注2：法律法规要求可以法定要求的形式表述。</w:t>
      </w:r>
    </w:p>
    <w:p w14:paraId="2D0BEED5">
      <w:pPr>
        <w:keepNext/>
        <w:spacing w:before="320" w:after="0"/>
        <w:jc w:val="left"/>
      </w:pPr>
      <w:r>
        <w:rPr>
          <w:rFonts w:ascii="Times New Roman" w:hAnsi="Times New Roman" w:eastAsia="宋体"/>
          <w:b/>
          <w:i w:val="0"/>
          <w:color w:val="000000"/>
          <w:sz w:val="28"/>
        </w:rPr>
        <w:t>2  Normative references</w:t>
      </w:r>
    </w:p>
    <w:p w14:paraId="254743BE">
      <w:pPr>
        <w:pBdr>
          <w:bottom w:val="single" w:color="C01E2E" w:sz="8" w:space="2"/>
        </w:pBdr>
        <w:spacing w:before="0" w:after="100"/>
        <w:jc w:val="left"/>
      </w:pPr>
      <w:r>
        <w:rPr>
          <w:rFonts w:ascii="Times New Roman" w:hAnsi="Times New Roman" w:eastAsia="黑体"/>
          <w:b w:val="0"/>
          <w:i w:val="0"/>
          <w:color w:val="000000"/>
          <w:sz w:val="28"/>
        </w:rPr>
        <w:t>2  规范性引用文件</w:t>
      </w:r>
    </w:p>
    <w:p w14:paraId="75FCF9B1">
      <w:pPr>
        <w:keepNext/>
        <w:spacing w:before="60" w:after="0"/>
        <w:jc w:val="both"/>
      </w:pPr>
      <w:r>
        <w:rPr>
          <w:rFonts w:ascii="Times New Roman" w:hAnsi="Times New Roman" w:eastAsia="宋体"/>
          <w:b w:val="0"/>
          <w:i w:val="0"/>
          <w:color w:val="000000"/>
          <w:sz w:val="21"/>
        </w:rPr>
        <w:t>The following documents are referred to in the text in such a way that some or all of their content constitutes requirements of this document. For dated references, only the edition cited applies. For undated references, the latest edition of the referenced document (including any amendments) applies.</w:t>
      </w:r>
    </w:p>
    <w:p w14:paraId="69F23874">
      <w:pPr>
        <w:spacing w:before="0" w:after="100"/>
        <w:jc w:val="both"/>
      </w:pPr>
      <w:r>
        <w:rPr>
          <w:rFonts w:ascii="Times New Roman" w:hAnsi="Times New Roman" w:eastAsia="宋体"/>
          <w:b w:val="0"/>
          <w:i w:val="0"/>
          <w:color w:val="000000"/>
          <w:sz w:val="21"/>
        </w:rPr>
        <w:t>下列文件中的内容通过文中的规范性引用而构成本文件必不可少的条款。其中，注日期的引用文件，仅该日期对应的版本适用于本文件；不注日期的引用文件，其最新版本（包括所有的修改单）适用于本文件。</w:t>
      </w:r>
    </w:p>
    <w:p w14:paraId="245F56EC">
      <w:pPr>
        <w:keepNext/>
        <w:spacing w:before="60" w:after="0"/>
        <w:jc w:val="both"/>
      </w:pPr>
      <w:r>
        <w:rPr>
          <w:rFonts w:ascii="Times New Roman" w:hAnsi="Times New Roman" w:eastAsia="宋体"/>
          <w:b w:val="0"/>
          <w:i w:val="0"/>
          <w:color w:val="000000"/>
          <w:sz w:val="21"/>
        </w:rPr>
        <w:t>ISO 9000, Quality management — Fundamentals and vocabulary</w:t>
      </w:r>
    </w:p>
    <w:p w14:paraId="7EB619AD">
      <w:pPr>
        <w:spacing w:before="0" w:after="100"/>
        <w:jc w:val="both"/>
      </w:pPr>
      <w:r>
        <w:rPr>
          <w:rFonts w:ascii="Times New Roman" w:hAnsi="Times New Roman" w:eastAsia="宋体"/>
          <w:b w:val="0"/>
          <w:i w:val="0"/>
          <w:color w:val="000000"/>
          <w:sz w:val="21"/>
        </w:rPr>
        <w:t>ISO 9000《质量管理 基础和词汇》</w:t>
      </w:r>
    </w:p>
    <w:p w14:paraId="1783DA63">
      <w:pPr>
        <w:keepNext/>
        <w:spacing w:before="320" w:after="0"/>
        <w:jc w:val="left"/>
      </w:pPr>
      <w:r>
        <w:rPr>
          <w:rFonts w:ascii="Times New Roman" w:hAnsi="Times New Roman" w:eastAsia="宋体"/>
          <w:b/>
          <w:i w:val="0"/>
          <w:color w:val="000000"/>
          <w:sz w:val="28"/>
        </w:rPr>
        <w:t>3  Terms and definitions</w:t>
      </w:r>
    </w:p>
    <w:p w14:paraId="3FF32B0F">
      <w:pPr>
        <w:pBdr>
          <w:bottom w:val="single" w:color="C01E2E" w:sz="8" w:space="2"/>
        </w:pBdr>
        <w:spacing w:before="0" w:after="100"/>
        <w:jc w:val="left"/>
      </w:pPr>
      <w:r>
        <w:rPr>
          <w:rFonts w:ascii="Times New Roman" w:hAnsi="Times New Roman" w:eastAsia="黑体"/>
          <w:b w:val="0"/>
          <w:i w:val="0"/>
          <w:color w:val="000000"/>
          <w:sz w:val="28"/>
        </w:rPr>
        <w:t>3  术语和定义</w:t>
      </w:r>
    </w:p>
    <w:p w14:paraId="5188F49C">
      <w:pPr>
        <w:keepNext/>
        <w:spacing w:before="60" w:after="0"/>
        <w:jc w:val="both"/>
      </w:pPr>
      <w:r>
        <w:rPr>
          <w:rFonts w:ascii="Times New Roman" w:hAnsi="Times New Roman" w:eastAsia="宋体"/>
          <w:b w:val="0"/>
          <w:i w:val="0"/>
          <w:color w:val="000000"/>
          <w:sz w:val="21"/>
        </w:rPr>
        <w:t>For the purposes of this document, the terms and definitions given in ISO 9000 and the following apply.</w:t>
      </w:r>
    </w:p>
    <w:p w14:paraId="4872CE7C">
      <w:pPr>
        <w:spacing w:before="0" w:after="100"/>
        <w:jc w:val="both"/>
      </w:pPr>
      <w:r>
        <w:rPr>
          <w:rFonts w:ascii="Times New Roman" w:hAnsi="Times New Roman" w:eastAsia="宋体"/>
          <w:b w:val="0"/>
          <w:i w:val="0"/>
          <w:color w:val="000000"/>
          <w:sz w:val="21"/>
        </w:rPr>
        <w:t>就本文件而言，ISO 9000中给出的以及下列术语和定义适用于本文件。</w:t>
      </w:r>
    </w:p>
    <w:p w14:paraId="104C1F09">
      <w:pPr>
        <w:keepNext/>
        <w:spacing w:before="60" w:after="0"/>
        <w:jc w:val="both"/>
      </w:pPr>
      <w:r>
        <w:rPr>
          <w:rFonts w:ascii="Times New Roman" w:hAnsi="Times New Roman" w:eastAsia="宋体"/>
          <w:b w:val="0"/>
          <w:i w:val="0"/>
          <w:color w:val="000000"/>
          <w:sz w:val="21"/>
        </w:rPr>
        <w:t>ISO and IEC maintain terminology databases for use in standardization at the following addresses:</w:t>
      </w:r>
    </w:p>
    <w:p w14:paraId="3B8D5D2E">
      <w:pPr>
        <w:spacing w:before="0" w:after="100"/>
        <w:jc w:val="both"/>
      </w:pPr>
      <w:r>
        <w:rPr>
          <w:rFonts w:ascii="Times New Roman" w:hAnsi="Times New Roman" w:eastAsia="宋体"/>
          <w:b w:val="0"/>
          <w:i w:val="0"/>
          <w:color w:val="000000"/>
          <w:sz w:val="21"/>
        </w:rPr>
        <w:t>ISO和IEC维护用于标准化的术语数据库，网址如下：</w:t>
      </w:r>
    </w:p>
    <w:p w14:paraId="333AAC36">
      <w:pPr>
        <w:keepNext/>
        <w:spacing w:before="20" w:after="0"/>
        <w:ind w:left="357" w:hanging="357"/>
        <w:jc w:val="both"/>
      </w:pPr>
      <w:r>
        <w:rPr>
          <w:rFonts w:ascii="Times New Roman" w:hAnsi="Times New Roman" w:eastAsia="宋体"/>
          <w:b w:val="0"/>
          <w:i w:val="0"/>
          <w:color w:val="000000"/>
          <w:sz w:val="21"/>
        </w:rPr>
        <w:t>— ISO Online browsing platform: available at https://www.iso.org/obp</w:t>
      </w:r>
    </w:p>
    <w:p w14:paraId="50123EB5">
      <w:pPr>
        <w:spacing w:before="0" w:after="60"/>
        <w:ind w:left="357" w:hanging="357"/>
        <w:jc w:val="both"/>
      </w:pPr>
      <w:r>
        <w:rPr>
          <w:rFonts w:ascii="Times New Roman" w:hAnsi="Times New Roman" w:eastAsia="宋体"/>
          <w:b w:val="0"/>
          <w:i w:val="0"/>
          <w:color w:val="000000"/>
          <w:sz w:val="21"/>
        </w:rPr>
        <w:t>—— ISO在线浏览平台：https://www.iso.org/obp</w:t>
      </w:r>
    </w:p>
    <w:p w14:paraId="09A3D26A">
      <w:pPr>
        <w:keepNext/>
        <w:spacing w:before="20" w:after="0"/>
        <w:ind w:left="357" w:hanging="357"/>
        <w:jc w:val="both"/>
      </w:pPr>
      <w:r>
        <w:rPr>
          <w:rFonts w:ascii="Times New Roman" w:hAnsi="Times New Roman" w:eastAsia="宋体"/>
          <w:b w:val="0"/>
          <w:i w:val="0"/>
          <w:color w:val="000000"/>
          <w:sz w:val="21"/>
        </w:rPr>
        <w:t>— IEC Electropedia: available at https://www.electropedia.org</w:t>
      </w:r>
    </w:p>
    <w:p w14:paraId="47FA0C39">
      <w:pPr>
        <w:spacing w:before="0" w:after="60"/>
        <w:ind w:left="357" w:hanging="357"/>
        <w:jc w:val="both"/>
      </w:pPr>
      <w:r>
        <w:rPr>
          <w:rFonts w:ascii="Times New Roman" w:hAnsi="Times New Roman" w:eastAsia="宋体"/>
          <w:b w:val="0"/>
          <w:i w:val="0"/>
          <w:color w:val="000000"/>
          <w:sz w:val="21"/>
        </w:rPr>
        <w:t>—— IEC电子百科：https://www.electropedia.org</w:t>
      </w:r>
    </w:p>
    <w:p w14:paraId="389CF3FC">
      <w:pPr>
        <w:keepNext/>
        <w:spacing w:before="200" w:after="0"/>
        <w:jc w:val="left"/>
      </w:pPr>
      <w:r>
        <w:rPr>
          <w:rFonts w:ascii="Times New Roman" w:hAnsi="Times New Roman" w:eastAsia="宋体"/>
          <w:b/>
          <w:i w:val="0"/>
          <w:color w:val="000000"/>
          <w:sz w:val="22"/>
        </w:rPr>
        <w:t>3.1  organization</w:t>
      </w:r>
    </w:p>
    <w:p w14:paraId="506DCFF9">
      <w:pPr>
        <w:spacing w:before="0" w:after="80"/>
        <w:jc w:val="left"/>
      </w:pPr>
      <w:r>
        <w:rPr>
          <w:rFonts w:ascii="Times New Roman" w:hAnsi="Times New Roman" w:eastAsia="黑体"/>
          <w:b w:val="0"/>
          <w:i w:val="0"/>
          <w:color w:val="000000"/>
          <w:sz w:val="22"/>
        </w:rPr>
        <w:t>3.1  组织</w:t>
      </w:r>
    </w:p>
    <w:p w14:paraId="54FEE1BE">
      <w:pPr>
        <w:keepNext/>
        <w:spacing w:before="60" w:after="0"/>
        <w:jc w:val="both"/>
      </w:pPr>
      <w:r>
        <w:rPr>
          <w:rFonts w:ascii="Times New Roman" w:hAnsi="Times New Roman" w:eastAsia="宋体"/>
          <w:b w:val="0"/>
          <w:i w:val="0"/>
          <w:color w:val="000000"/>
          <w:sz w:val="21"/>
        </w:rPr>
        <w:t>person or group of people that has its own functions with responsibilities, authorities and relationships to achieve its objectives (3.6)</w:t>
      </w:r>
    </w:p>
    <w:p w14:paraId="60E07237">
      <w:pPr>
        <w:spacing w:before="0" w:after="100"/>
        <w:jc w:val="both"/>
      </w:pPr>
      <w:r>
        <w:rPr>
          <w:rFonts w:ascii="Times New Roman" w:hAnsi="Times New Roman" w:eastAsia="宋体"/>
          <w:b w:val="0"/>
          <w:i w:val="0"/>
          <w:color w:val="000000"/>
          <w:sz w:val="21"/>
        </w:rPr>
        <w:t>为实现其目标（3.6），具有自身职能、职责、权限和相互关系的一个人或一组人。</w:t>
      </w:r>
    </w:p>
    <w:p w14:paraId="1048980A">
      <w:pPr>
        <w:keepNext/>
        <w:spacing w:before="20" w:after="0"/>
        <w:ind w:left="227"/>
        <w:jc w:val="both"/>
      </w:pPr>
      <w:r>
        <w:rPr>
          <w:rFonts w:ascii="Times New Roman" w:hAnsi="Times New Roman" w:eastAsia="宋体"/>
          <w:b w:val="0"/>
          <w:i/>
          <w:color w:val="000000"/>
          <w:sz w:val="20"/>
        </w:rPr>
        <w:t>NOTE 1 to entry — The concept of organization includes, but is not limited to, sole-trader, company, corporation, firm, enterprise, authority, partnership, charity or institution, or part or combination thereof, whether incorporated or not, public or private.</w:t>
      </w:r>
    </w:p>
    <w:p w14:paraId="126910B7">
      <w:pPr>
        <w:spacing w:before="0" w:after="100"/>
        <w:ind w:left="227"/>
        <w:jc w:val="both"/>
      </w:pPr>
      <w:r>
        <w:rPr>
          <w:rFonts w:ascii="Times New Roman" w:hAnsi="Times New Roman" w:eastAsia="宋体"/>
          <w:b w:val="0"/>
          <w:i w:val="0"/>
          <w:color w:val="000000"/>
          <w:sz w:val="20"/>
        </w:rPr>
        <w:t>注1：组织的概念包括但不限于：个体经营者、公司、集团、商行、企事业单位、政府机构、合伙企业、慈善机构或研究机构，或上述组织的部分或组合，无论其是否为法人组织，公有的或私有的。</w:t>
      </w:r>
    </w:p>
    <w:p w14:paraId="34DB4630">
      <w:pPr>
        <w:keepNext/>
        <w:spacing w:before="20" w:after="0"/>
        <w:ind w:left="227"/>
        <w:jc w:val="both"/>
      </w:pPr>
      <w:r>
        <w:rPr>
          <w:rFonts w:ascii="Times New Roman" w:hAnsi="Times New Roman" w:eastAsia="宋体"/>
          <w:b w:val="0"/>
          <w:i/>
          <w:color w:val="000000"/>
          <w:sz w:val="20"/>
        </w:rPr>
        <w:t>NOTE 2 to entry — If the organization is part of a larger entity, the term “organization” refers only to the part of the larger entity that is within the scope of the quality management system (3.4.1).</w:t>
      </w:r>
    </w:p>
    <w:p w14:paraId="0567186B">
      <w:pPr>
        <w:spacing w:before="0" w:after="100"/>
        <w:ind w:left="227"/>
        <w:jc w:val="both"/>
      </w:pPr>
      <w:r>
        <w:rPr>
          <w:rFonts w:ascii="Times New Roman" w:hAnsi="Times New Roman" w:eastAsia="宋体"/>
          <w:b w:val="0"/>
          <w:i w:val="0"/>
          <w:color w:val="000000"/>
          <w:sz w:val="20"/>
        </w:rPr>
        <w:t>注2：如果组织是较大实体的一部分，则术语“组织”仅指质量管理体系（3.4.1）覆盖范围内较大实体的那一部分。</w:t>
      </w:r>
    </w:p>
    <w:p w14:paraId="1CF2BA97">
      <w:pPr>
        <w:keepNext/>
        <w:spacing w:before="200" w:after="0"/>
        <w:jc w:val="left"/>
      </w:pPr>
      <w:r>
        <w:rPr>
          <w:rFonts w:ascii="Times New Roman" w:hAnsi="Times New Roman" w:eastAsia="宋体"/>
          <w:b/>
          <w:i w:val="0"/>
          <w:color w:val="000000"/>
          <w:sz w:val="22"/>
        </w:rPr>
        <w:t>3.2  interested party / stakeholder</w:t>
      </w:r>
    </w:p>
    <w:p w14:paraId="42834C8E">
      <w:pPr>
        <w:spacing w:before="0" w:after="80"/>
        <w:jc w:val="left"/>
      </w:pPr>
      <w:r>
        <w:rPr>
          <w:rFonts w:ascii="Times New Roman" w:hAnsi="Times New Roman" w:eastAsia="黑体"/>
          <w:b w:val="0"/>
          <w:i w:val="0"/>
          <w:color w:val="000000"/>
          <w:sz w:val="22"/>
        </w:rPr>
        <w:t>3.2  相关方（利益相关方）</w:t>
      </w:r>
    </w:p>
    <w:p w14:paraId="6C8E1376">
      <w:pPr>
        <w:keepNext/>
        <w:spacing w:before="60" w:after="0"/>
        <w:jc w:val="both"/>
      </w:pPr>
      <w:r>
        <w:rPr>
          <w:rFonts w:ascii="Times New Roman" w:hAnsi="Times New Roman" w:eastAsia="宋体"/>
          <w:b w:val="0"/>
          <w:i w:val="0"/>
          <w:color w:val="000000"/>
          <w:sz w:val="21"/>
        </w:rPr>
        <w:t>person or organization (3.1) that can affect, be affected by, or perceive itself to be affected by a decision or activity</w:t>
      </w:r>
    </w:p>
    <w:p w14:paraId="5F751ACA">
      <w:pPr>
        <w:spacing w:before="0" w:after="100"/>
        <w:jc w:val="both"/>
      </w:pPr>
      <w:r>
        <w:rPr>
          <w:rFonts w:ascii="Times New Roman" w:hAnsi="Times New Roman" w:eastAsia="宋体"/>
          <w:b w:val="0"/>
          <w:i w:val="0"/>
          <w:color w:val="000000"/>
          <w:sz w:val="21"/>
        </w:rPr>
        <w:t>可影响决策或活动、受决策或活动影响，或自认为受决策或活动影响的个人或组织（3.1）。</w:t>
      </w:r>
    </w:p>
    <w:p w14:paraId="47BBADDA">
      <w:pPr>
        <w:keepNext/>
        <w:spacing w:before="20" w:after="0"/>
        <w:ind w:left="227"/>
        <w:jc w:val="both"/>
      </w:pPr>
      <w:r>
        <w:rPr>
          <w:rFonts w:ascii="Times New Roman" w:hAnsi="Times New Roman" w:eastAsia="宋体"/>
          <w:b w:val="0"/>
          <w:i/>
          <w:color w:val="000000"/>
          <w:sz w:val="20"/>
        </w:rPr>
        <w:t>EXAMPLE — Customers, owners, people in an organization, providers, bankers, regulatory authorities, unions, partnerships or society that can include competitors or opposing pressure groups.</w:t>
      </w:r>
    </w:p>
    <w:p w14:paraId="5D5FE409">
      <w:pPr>
        <w:spacing w:before="0" w:after="100"/>
        <w:ind w:left="227"/>
        <w:jc w:val="both"/>
      </w:pPr>
      <w:r>
        <w:rPr>
          <w:rFonts w:ascii="Times New Roman" w:hAnsi="Times New Roman" w:eastAsia="宋体"/>
          <w:b w:val="0"/>
          <w:i w:val="0"/>
          <w:color w:val="000000"/>
          <w:sz w:val="20"/>
        </w:rPr>
        <w:t>示例：顾客、所有者、组织内的员工、供方、银行、监管机构、工会以及可包括竞争对手或对立压力集团的社会群体。</w:t>
      </w:r>
    </w:p>
    <w:p w14:paraId="5648B1E9">
      <w:pPr>
        <w:keepNext/>
        <w:spacing w:before="200" w:after="0"/>
        <w:jc w:val="left"/>
      </w:pPr>
      <w:r>
        <w:rPr>
          <w:rFonts w:ascii="Times New Roman" w:hAnsi="Times New Roman" w:eastAsia="宋体"/>
          <w:b/>
          <w:i w:val="0"/>
          <w:color w:val="000000"/>
          <w:sz w:val="22"/>
        </w:rPr>
        <w:t>3.3  top management</w:t>
      </w:r>
    </w:p>
    <w:p w14:paraId="7A55DDDD">
      <w:pPr>
        <w:spacing w:before="0" w:after="80"/>
        <w:jc w:val="left"/>
      </w:pPr>
      <w:r>
        <w:rPr>
          <w:rFonts w:ascii="Times New Roman" w:hAnsi="Times New Roman" w:eastAsia="黑体"/>
          <w:b w:val="0"/>
          <w:i w:val="0"/>
          <w:color w:val="000000"/>
          <w:sz w:val="22"/>
        </w:rPr>
        <w:t>3.3  最高管理者</w:t>
      </w:r>
    </w:p>
    <w:p w14:paraId="015CBF77">
      <w:pPr>
        <w:keepNext/>
        <w:spacing w:before="60" w:after="0"/>
        <w:jc w:val="both"/>
      </w:pPr>
      <w:r>
        <w:rPr>
          <w:rFonts w:ascii="Times New Roman" w:hAnsi="Times New Roman" w:eastAsia="宋体"/>
          <w:b w:val="0"/>
          <w:i w:val="0"/>
          <w:color w:val="000000"/>
          <w:sz w:val="21"/>
        </w:rPr>
        <w:t>person or group of people who directs and controls an organization (3.1) at the highest level</w:t>
      </w:r>
    </w:p>
    <w:p w14:paraId="15AF5FC5">
      <w:pPr>
        <w:spacing w:before="0" w:after="100"/>
        <w:jc w:val="both"/>
      </w:pPr>
      <w:r>
        <w:rPr>
          <w:rFonts w:ascii="Times New Roman" w:hAnsi="Times New Roman" w:eastAsia="宋体"/>
          <w:b w:val="0"/>
          <w:i w:val="0"/>
          <w:color w:val="000000"/>
          <w:sz w:val="21"/>
        </w:rPr>
        <w:t>在最高层指挥和控制组织（3.1）的一个人或一组人。</w:t>
      </w:r>
    </w:p>
    <w:p w14:paraId="606487D2">
      <w:pPr>
        <w:keepNext/>
        <w:spacing w:before="20" w:after="0"/>
        <w:ind w:left="227"/>
        <w:jc w:val="both"/>
      </w:pPr>
      <w:r>
        <w:rPr>
          <w:rFonts w:ascii="Times New Roman" w:hAnsi="Times New Roman" w:eastAsia="宋体"/>
          <w:b w:val="0"/>
          <w:i/>
          <w:color w:val="000000"/>
          <w:sz w:val="20"/>
        </w:rPr>
        <w:t>NOTE 1 to entry — Top management has the power to delegate authority and provide resources within the organization.</w:t>
      </w:r>
    </w:p>
    <w:p w14:paraId="294C8435">
      <w:pPr>
        <w:spacing w:before="0" w:after="100"/>
        <w:ind w:left="227"/>
        <w:jc w:val="both"/>
      </w:pPr>
      <w:r>
        <w:rPr>
          <w:rFonts w:ascii="Times New Roman" w:hAnsi="Times New Roman" w:eastAsia="宋体"/>
          <w:b w:val="0"/>
          <w:i w:val="0"/>
          <w:color w:val="000000"/>
          <w:sz w:val="20"/>
        </w:rPr>
        <w:t>注1：最高管理者在组织内有授权和提供资源的权力。</w:t>
      </w:r>
    </w:p>
    <w:p w14:paraId="35ED654E">
      <w:pPr>
        <w:keepNext/>
        <w:spacing w:before="20" w:after="0"/>
        <w:ind w:left="227"/>
        <w:jc w:val="both"/>
      </w:pPr>
      <w:r>
        <w:rPr>
          <w:rFonts w:ascii="Times New Roman" w:hAnsi="Times New Roman" w:eastAsia="宋体"/>
          <w:b w:val="0"/>
          <w:i/>
          <w:color w:val="000000"/>
          <w:sz w:val="20"/>
        </w:rPr>
        <w:t>NOTE 2 to entry — If the scope of the management system (3.4) covers only part of an organization, then top management refers to those who direct and control that part of the organization.</w:t>
      </w:r>
    </w:p>
    <w:p w14:paraId="4FB2F86F">
      <w:pPr>
        <w:spacing w:before="0" w:after="100"/>
        <w:ind w:left="227"/>
        <w:jc w:val="both"/>
      </w:pPr>
      <w:r>
        <w:rPr>
          <w:rFonts w:ascii="Times New Roman" w:hAnsi="Times New Roman" w:eastAsia="宋体"/>
          <w:b w:val="0"/>
          <w:i w:val="0"/>
          <w:color w:val="000000"/>
          <w:sz w:val="20"/>
        </w:rPr>
        <w:t>注2：如果管理体系（3.4）的范围仅覆盖组织的一部分，则最高管理者是指指挥和控制组织该部分的人员。</w:t>
      </w:r>
    </w:p>
    <w:p w14:paraId="384CF0D7">
      <w:pPr>
        <w:keepNext/>
        <w:spacing w:before="200" w:after="0"/>
        <w:jc w:val="left"/>
      </w:pPr>
      <w:r>
        <w:rPr>
          <w:rFonts w:ascii="Times New Roman" w:hAnsi="Times New Roman" w:eastAsia="宋体"/>
          <w:b/>
          <w:i w:val="0"/>
          <w:color w:val="000000"/>
          <w:sz w:val="22"/>
        </w:rPr>
        <w:t>3.4  management system</w:t>
      </w:r>
    </w:p>
    <w:p w14:paraId="10A3F0D1">
      <w:pPr>
        <w:spacing w:before="0" w:after="80"/>
        <w:jc w:val="left"/>
      </w:pPr>
      <w:r>
        <w:rPr>
          <w:rFonts w:ascii="Times New Roman" w:hAnsi="Times New Roman" w:eastAsia="黑体"/>
          <w:b w:val="0"/>
          <w:i w:val="0"/>
          <w:color w:val="000000"/>
          <w:sz w:val="22"/>
        </w:rPr>
        <w:t>3.4  管理体系</w:t>
      </w:r>
    </w:p>
    <w:p w14:paraId="7A5CE564">
      <w:pPr>
        <w:keepNext/>
        <w:spacing w:before="60" w:after="0"/>
        <w:jc w:val="both"/>
      </w:pPr>
      <w:r>
        <w:rPr>
          <w:rFonts w:ascii="Times New Roman" w:hAnsi="Times New Roman" w:eastAsia="宋体"/>
          <w:b w:val="0"/>
          <w:i w:val="0"/>
          <w:color w:val="000000"/>
          <w:sz w:val="21"/>
        </w:rPr>
        <w:t>set of interrelated or interacting elements of an organization (3.1) to establish policies (3.5) and objectives (3.6), as well as processes (3.8) to achieve those objectives</w:t>
      </w:r>
    </w:p>
    <w:p w14:paraId="65856FE8">
      <w:pPr>
        <w:spacing w:before="0" w:after="100"/>
        <w:jc w:val="both"/>
      </w:pPr>
      <w:r>
        <w:rPr>
          <w:rFonts w:ascii="Times New Roman" w:hAnsi="Times New Roman" w:eastAsia="宋体"/>
          <w:b w:val="0"/>
          <w:i w:val="0"/>
          <w:color w:val="000000"/>
          <w:sz w:val="21"/>
        </w:rPr>
        <w:t>组织（3.1）为确立方针（3.5）和目标（3.6）以及实现这些目标的过程（3.8）而建立的相互关联或相互作用的一组要素。</w:t>
      </w:r>
    </w:p>
    <w:p w14:paraId="445BD1DA">
      <w:pPr>
        <w:keepNext/>
        <w:spacing w:before="20" w:after="0"/>
        <w:ind w:left="227"/>
        <w:jc w:val="both"/>
      </w:pPr>
      <w:r>
        <w:rPr>
          <w:rFonts w:ascii="Times New Roman" w:hAnsi="Times New Roman" w:eastAsia="宋体"/>
          <w:b w:val="0"/>
          <w:i/>
          <w:color w:val="000000"/>
          <w:sz w:val="20"/>
        </w:rPr>
        <w:t>NOTE 1 to entry — A management system can address a single discipline or several disciplines.</w:t>
      </w:r>
    </w:p>
    <w:p w14:paraId="3C9E6FD3">
      <w:pPr>
        <w:spacing w:before="0" w:after="100"/>
        <w:ind w:left="227"/>
        <w:jc w:val="both"/>
      </w:pPr>
      <w:r>
        <w:rPr>
          <w:rFonts w:ascii="Times New Roman" w:hAnsi="Times New Roman" w:eastAsia="宋体"/>
          <w:b w:val="0"/>
          <w:i w:val="0"/>
          <w:color w:val="000000"/>
          <w:sz w:val="20"/>
        </w:rPr>
        <w:t>注1：管理体系可针对单一领域或多个领域。</w:t>
      </w:r>
    </w:p>
    <w:p w14:paraId="74764E6D">
      <w:pPr>
        <w:keepNext/>
        <w:spacing w:before="20" w:after="0"/>
        <w:ind w:left="227"/>
        <w:jc w:val="both"/>
      </w:pPr>
      <w:r>
        <w:rPr>
          <w:rFonts w:ascii="Times New Roman" w:hAnsi="Times New Roman" w:eastAsia="宋体"/>
          <w:b w:val="0"/>
          <w:i/>
          <w:color w:val="000000"/>
          <w:sz w:val="20"/>
        </w:rPr>
        <w:t>NOTE 2 to entry — The management system elements include the organization's structure, roles and responsibilities, planning and operation.</w:t>
      </w:r>
    </w:p>
    <w:p w14:paraId="78A25DAB">
      <w:pPr>
        <w:spacing w:before="0" w:after="100"/>
        <w:ind w:left="227"/>
        <w:jc w:val="both"/>
      </w:pPr>
      <w:r>
        <w:rPr>
          <w:rFonts w:ascii="Times New Roman" w:hAnsi="Times New Roman" w:eastAsia="宋体"/>
          <w:b w:val="0"/>
          <w:i w:val="0"/>
          <w:color w:val="000000"/>
          <w:sz w:val="20"/>
        </w:rPr>
        <w:t>注2：管理体系要素包括组织的结构、岗位和职责、策划以及运行。</w:t>
      </w:r>
    </w:p>
    <w:p w14:paraId="53CD3C1A">
      <w:pPr>
        <w:keepNext/>
        <w:spacing w:before="20" w:after="0"/>
        <w:ind w:left="227"/>
        <w:jc w:val="both"/>
      </w:pPr>
      <w:r>
        <w:rPr>
          <w:rFonts w:ascii="Times New Roman" w:hAnsi="Times New Roman" w:eastAsia="宋体"/>
          <w:b w:val="0"/>
          <w:i/>
          <w:color w:val="000000"/>
          <w:sz w:val="20"/>
        </w:rPr>
        <w:t>NOTE 3 to entry — The management system elements can include the organization's policies, practices, rules and beliefs.</w:t>
      </w:r>
    </w:p>
    <w:p w14:paraId="70BBCFFA">
      <w:pPr>
        <w:spacing w:before="0" w:after="100"/>
        <w:ind w:left="227"/>
        <w:jc w:val="both"/>
      </w:pPr>
      <w:r>
        <w:rPr>
          <w:rFonts w:ascii="Times New Roman" w:hAnsi="Times New Roman" w:eastAsia="宋体"/>
          <w:b w:val="0"/>
          <w:i w:val="0"/>
          <w:color w:val="000000"/>
          <w:sz w:val="20"/>
        </w:rPr>
        <w:t>注3：管理体系要素可包括组织的方针、惯例、规则和理念。</w:t>
      </w:r>
    </w:p>
    <w:p w14:paraId="37363A48">
      <w:pPr>
        <w:keepNext/>
        <w:spacing w:before="20" w:after="0"/>
        <w:ind w:left="227"/>
        <w:jc w:val="both"/>
      </w:pPr>
      <w:r>
        <w:rPr>
          <w:rFonts w:ascii="Times New Roman" w:hAnsi="Times New Roman" w:eastAsia="宋体"/>
          <w:b w:val="0"/>
          <w:i/>
          <w:color w:val="000000"/>
          <w:sz w:val="20"/>
        </w:rPr>
        <w:t>NOTE 4 to entry — An organization manages its interrelated elements in an orderly manner to achieve its objectives.</w:t>
      </w:r>
    </w:p>
    <w:p w14:paraId="32ACB5D6">
      <w:pPr>
        <w:spacing w:before="0" w:after="100"/>
        <w:ind w:left="227"/>
        <w:jc w:val="both"/>
      </w:pPr>
      <w:r>
        <w:rPr>
          <w:rFonts w:ascii="Times New Roman" w:hAnsi="Times New Roman" w:eastAsia="宋体"/>
          <w:b w:val="0"/>
          <w:i w:val="0"/>
          <w:color w:val="000000"/>
          <w:sz w:val="20"/>
        </w:rPr>
        <w:t>注4：组织以有序的方式管理其相互关联的要素，以实现其目标。</w:t>
      </w:r>
    </w:p>
    <w:p w14:paraId="12623B7B">
      <w:pPr>
        <w:keepNext/>
        <w:spacing w:before="20" w:after="0"/>
        <w:ind w:left="227"/>
        <w:jc w:val="both"/>
      </w:pPr>
      <w:r>
        <w:rPr>
          <w:rFonts w:ascii="Times New Roman" w:hAnsi="Times New Roman" w:eastAsia="宋体"/>
          <w:b w:val="0"/>
          <w:i/>
          <w:color w:val="000000"/>
          <w:sz w:val="20"/>
        </w:rPr>
        <w:t>NOTE 5 to entry — The scope of a management system can include the whole of the organization, specific and identified functions of the organization, specific and identified sections of the organization, or one or more functions across a group of organizations.</w:t>
      </w:r>
    </w:p>
    <w:p w14:paraId="1C8529F6">
      <w:pPr>
        <w:spacing w:before="0" w:after="100"/>
        <w:ind w:left="227"/>
        <w:jc w:val="both"/>
      </w:pPr>
      <w:r>
        <w:rPr>
          <w:rFonts w:ascii="Times New Roman" w:hAnsi="Times New Roman" w:eastAsia="宋体"/>
          <w:b w:val="0"/>
          <w:i w:val="0"/>
          <w:color w:val="000000"/>
          <w:sz w:val="20"/>
        </w:rPr>
        <w:t>注5：管理体系的范围可包括整个组织、组织内特定且经识别的职能、组织内特定且经识别的部门，或跨越一组组织的一个或多个职能。</w:t>
      </w:r>
    </w:p>
    <w:p w14:paraId="037A2766">
      <w:pPr>
        <w:keepNext/>
        <w:spacing w:before="200" w:after="0"/>
        <w:jc w:val="left"/>
      </w:pPr>
      <w:r>
        <w:rPr>
          <w:rFonts w:ascii="Times New Roman" w:hAnsi="Times New Roman" w:eastAsia="宋体"/>
          <w:b/>
          <w:i w:val="0"/>
          <w:color w:val="000000"/>
          <w:sz w:val="22"/>
        </w:rPr>
        <w:t>3.4.1  quality management system</w:t>
      </w:r>
    </w:p>
    <w:p w14:paraId="7ECF9C5F">
      <w:pPr>
        <w:spacing w:before="0" w:after="80"/>
        <w:jc w:val="left"/>
      </w:pPr>
      <w:r>
        <w:rPr>
          <w:rFonts w:ascii="Times New Roman" w:hAnsi="Times New Roman" w:eastAsia="黑体"/>
          <w:b w:val="0"/>
          <w:i w:val="0"/>
          <w:color w:val="000000"/>
          <w:sz w:val="22"/>
        </w:rPr>
        <w:t>3.4.1  质量管理体系</w:t>
      </w:r>
    </w:p>
    <w:p w14:paraId="76D4D8AC">
      <w:pPr>
        <w:keepNext/>
        <w:spacing w:before="60" w:after="0"/>
        <w:jc w:val="both"/>
      </w:pPr>
      <w:r>
        <w:rPr>
          <w:rFonts w:ascii="Times New Roman" w:hAnsi="Times New Roman" w:eastAsia="宋体"/>
          <w:b w:val="0"/>
          <w:i w:val="0"/>
          <w:color w:val="000000"/>
          <w:sz w:val="21"/>
        </w:rPr>
        <w:t>part of the overall management system (3.4) of an organization (3.1) related to quality</w:t>
      </w:r>
    </w:p>
    <w:p w14:paraId="124F6F0E">
      <w:pPr>
        <w:spacing w:before="0" w:after="100"/>
        <w:jc w:val="both"/>
      </w:pPr>
      <w:r>
        <w:rPr>
          <w:rFonts w:ascii="Times New Roman" w:hAnsi="Times New Roman" w:eastAsia="宋体"/>
          <w:b w:val="0"/>
          <w:i w:val="0"/>
          <w:color w:val="000000"/>
          <w:sz w:val="21"/>
        </w:rPr>
        <w:t>组织（3.1）的总体管理体系（3.4）中与质量有关的部分。</w:t>
      </w:r>
    </w:p>
    <w:p w14:paraId="25325F30">
      <w:pPr>
        <w:keepNext/>
        <w:spacing w:before="200" w:after="0"/>
        <w:jc w:val="left"/>
      </w:pPr>
      <w:r>
        <w:rPr>
          <w:rFonts w:ascii="Times New Roman" w:hAnsi="Times New Roman" w:eastAsia="宋体"/>
          <w:b/>
          <w:i w:val="0"/>
          <w:color w:val="000000"/>
          <w:sz w:val="22"/>
        </w:rPr>
        <w:t>3.5  policy</w:t>
      </w:r>
    </w:p>
    <w:p w14:paraId="6320C8C1">
      <w:pPr>
        <w:spacing w:before="0" w:after="80"/>
        <w:jc w:val="left"/>
      </w:pPr>
      <w:r>
        <w:rPr>
          <w:rFonts w:ascii="Times New Roman" w:hAnsi="Times New Roman" w:eastAsia="黑体"/>
          <w:b w:val="0"/>
          <w:i w:val="0"/>
          <w:color w:val="000000"/>
          <w:sz w:val="22"/>
        </w:rPr>
        <w:t>3.5  方针</w:t>
      </w:r>
    </w:p>
    <w:p w14:paraId="42BCD015">
      <w:pPr>
        <w:keepNext/>
        <w:spacing w:before="60" w:after="0"/>
        <w:jc w:val="both"/>
      </w:pPr>
      <w:r>
        <w:rPr>
          <w:rFonts w:ascii="Times New Roman" w:hAnsi="Times New Roman" w:eastAsia="宋体"/>
          <w:b w:val="0"/>
          <w:i w:val="0"/>
          <w:color w:val="000000"/>
          <w:sz w:val="21"/>
        </w:rPr>
        <w:t>intentions and direction of an organization (3.1) as formally expressed by its top management (3.3)</w:t>
      </w:r>
    </w:p>
    <w:p w14:paraId="7DDD9DE7">
      <w:pPr>
        <w:spacing w:before="0" w:after="100"/>
        <w:jc w:val="both"/>
      </w:pPr>
      <w:r>
        <w:rPr>
          <w:rFonts w:ascii="Times New Roman" w:hAnsi="Times New Roman" w:eastAsia="宋体"/>
          <w:b w:val="0"/>
          <w:i w:val="0"/>
          <w:color w:val="000000"/>
          <w:sz w:val="21"/>
        </w:rPr>
        <w:t>由最高管理者（3.3）正式发布的组织（3.1）的宗旨和方向。</w:t>
      </w:r>
    </w:p>
    <w:p w14:paraId="0EF27669">
      <w:pPr>
        <w:keepNext/>
        <w:spacing w:before="200" w:after="0"/>
        <w:jc w:val="left"/>
      </w:pPr>
      <w:r>
        <w:rPr>
          <w:rFonts w:ascii="Times New Roman" w:hAnsi="Times New Roman" w:eastAsia="宋体"/>
          <w:b/>
          <w:i w:val="0"/>
          <w:color w:val="000000"/>
          <w:sz w:val="22"/>
        </w:rPr>
        <w:t>3.5.1  quality policy</w:t>
      </w:r>
    </w:p>
    <w:p w14:paraId="4F81900B">
      <w:pPr>
        <w:spacing w:before="0" w:after="80"/>
        <w:jc w:val="left"/>
      </w:pPr>
      <w:r>
        <w:rPr>
          <w:rFonts w:ascii="Times New Roman" w:hAnsi="Times New Roman" w:eastAsia="黑体"/>
          <w:b w:val="0"/>
          <w:i w:val="0"/>
          <w:color w:val="000000"/>
          <w:sz w:val="22"/>
        </w:rPr>
        <w:t>3.5.1  质量方针</w:t>
      </w:r>
    </w:p>
    <w:p w14:paraId="50704FBD">
      <w:pPr>
        <w:keepNext/>
        <w:spacing w:before="60" w:after="0"/>
        <w:jc w:val="both"/>
      </w:pPr>
      <w:r>
        <w:rPr>
          <w:rFonts w:ascii="Times New Roman" w:hAnsi="Times New Roman" w:eastAsia="宋体"/>
          <w:b w:val="0"/>
          <w:i w:val="0"/>
          <w:color w:val="000000"/>
          <w:sz w:val="21"/>
        </w:rPr>
        <w:t>policy (3.5) related to quality</w:t>
      </w:r>
    </w:p>
    <w:p w14:paraId="3CB3BF5A">
      <w:pPr>
        <w:spacing w:before="0" w:after="100"/>
        <w:jc w:val="both"/>
      </w:pPr>
      <w:r>
        <w:rPr>
          <w:rFonts w:ascii="Times New Roman" w:hAnsi="Times New Roman" w:eastAsia="宋体"/>
          <w:b w:val="0"/>
          <w:i w:val="0"/>
          <w:color w:val="000000"/>
          <w:sz w:val="21"/>
        </w:rPr>
        <w:t>与质量有关的方针（3.5）。</w:t>
      </w:r>
    </w:p>
    <w:p w14:paraId="3EFEE79E">
      <w:pPr>
        <w:keepNext/>
        <w:spacing w:before="20" w:after="0"/>
        <w:ind w:left="227"/>
        <w:jc w:val="both"/>
      </w:pPr>
      <w:r>
        <w:rPr>
          <w:rFonts w:ascii="Times New Roman" w:hAnsi="Times New Roman" w:eastAsia="宋体"/>
          <w:b w:val="0"/>
          <w:i/>
          <w:color w:val="000000"/>
          <w:sz w:val="20"/>
        </w:rPr>
        <w:t>NOTE 1 to entry — The quality policy: is generally consistent with the overall policy of the organization (3.1); can be aligned with the organization's vision and mission; provides a framework for the setting of quality objectives.</w:t>
      </w:r>
    </w:p>
    <w:p w14:paraId="04BCE156">
      <w:pPr>
        <w:spacing w:before="0" w:after="100"/>
        <w:ind w:left="227"/>
        <w:jc w:val="both"/>
      </w:pPr>
      <w:r>
        <w:rPr>
          <w:rFonts w:ascii="Times New Roman" w:hAnsi="Times New Roman" w:eastAsia="宋体"/>
          <w:b w:val="0"/>
          <w:i w:val="0"/>
          <w:color w:val="000000"/>
          <w:sz w:val="20"/>
        </w:rPr>
        <w:t>注1：质量方针通常与组织的总方针（3.1）相一致，可与组织的愿景和使命相一致，并为制定质量目标提供框架。</w:t>
      </w:r>
    </w:p>
    <w:p w14:paraId="032CF5CA">
      <w:pPr>
        <w:keepNext/>
        <w:spacing w:before="20" w:after="0"/>
        <w:ind w:left="227"/>
        <w:jc w:val="both"/>
      </w:pPr>
      <w:r>
        <w:rPr>
          <w:rFonts w:ascii="Times New Roman" w:hAnsi="Times New Roman" w:eastAsia="宋体"/>
          <w:b w:val="0"/>
          <w:i/>
          <w:color w:val="000000"/>
          <w:sz w:val="20"/>
        </w:rPr>
        <w:t>NOTE 2 to entry — The quality management principles presented in ISO 9000 can form a basis for the establishment of a quality policy.</w:t>
      </w:r>
    </w:p>
    <w:p w14:paraId="27828249">
      <w:pPr>
        <w:spacing w:before="0" w:after="100"/>
        <w:ind w:left="227"/>
        <w:jc w:val="both"/>
      </w:pPr>
      <w:r>
        <w:rPr>
          <w:rFonts w:ascii="Times New Roman" w:hAnsi="Times New Roman" w:eastAsia="宋体"/>
          <w:b w:val="0"/>
          <w:i w:val="0"/>
          <w:color w:val="000000"/>
          <w:sz w:val="20"/>
        </w:rPr>
        <w:t>注2：ISO 9000中提出的质量管理原则可作为制定质量方针的基础。</w:t>
      </w:r>
    </w:p>
    <w:p w14:paraId="4706FD5B">
      <w:pPr>
        <w:keepNext/>
        <w:spacing w:before="200" w:after="0"/>
        <w:jc w:val="left"/>
      </w:pPr>
      <w:r>
        <w:rPr>
          <w:rFonts w:ascii="Times New Roman" w:hAnsi="Times New Roman" w:eastAsia="宋体"/>
          <w:b/>
          <w:i w:val="0"/>
          <w:color w:val="000000"/>
          <w:sz w:val="22"/>
        </w:rPr>
        <w:t>3.6  objective</w:t>
      </w:r>
    </w:p>
    <w:p w14:paraId="0116B775">
      <w:pPr>
        <w:spacing w:before="0" w:after="80"/>
        <w:jc w:val="left"/>
      </w:pPr>
      <w:r>
        <w:rPr>
          <w:rFonts w:ascii="Times New Roman" w:hAnsi="Times New Roman" w:eastAsia="黑体"/>
          <w:b w:val="0"/>
          <w:i w:val="0"/>
          <w:color w:val="000000"/>
          <w:sz w:val="22"/>
        </w:rPr>
        <w:t>3.6  目标</w:t>
      </w:r>
    </w:p>
    <w:p w14:paraId="3FFC964C">
      <w:pPr>
        <w:keepNext/>
        <w:spacing w:before="60" w:after="0"/>
        <w:jc w:val="both"/>
      </w:pPr>
      <w:r>
        <w:rPr>
          <w:rFonts w:ascii="Times New Roman" w:hAnsi="Times New Roman" w:eastAsia="宋体"/>
          <w:b w:val="0"/>
          <w:i w:val="0"/>
          <w:color w:val="000000"/>
          <w:sz w:val="21"/>
        </w:rPr>
        <w:t>result to be achieved</w:t>
      </w:r>
    </w:p>
    <w:p w14:paraId="6668D35F">
      <w:pPr>
        <w:spacing w:before="0" w:after="100"/>
        <w:jc w:val="both"/>
      </w:pPr>
      <w:r>
        <w:rPr>
          <w:rFonts w:ascii="Times New Roman" w:hAnsi="Times New Roman" w:eastAsia="宋体"/>
          <w:b w:val="0"/>
          <w:i w:val="0"/>
          <w:color w:val="000000"/>
          <w:sz w:val="21"/>
        </w:rPr>
        <w:t>要实现的结果。</w:t>
      </w:r>
    </w:p>
    <w:p w14:paraId="4E17472D">
      <w:pPr>
        <w:keepNext/>
        <w:spacing w:before="20" w:after="0"/>
        <w:ind w:left="227"/>
        <w:jc w:val="both"/>
      </w:pPr>
      <w:r>
        <w:rPr>
          <w:rFonts w:ascii="Times New Roman" w:hAnsi="Times New Roman" w:eastAsia="宋体"/>
          <w:b w:val="0"/>
          <w:i/>
          <w:color w:val="000000"/>
          <w:sz w:val="20"/>
        </w:rPr>
        <w:t>NOTE 1 to entry — An objective can be strategic, tactical or operational.</w:t>
      </w:r>
    </w:p>
    <w:p w14:paraId="2121FD15">
      <w:pPr>
        <w:spacing w:before="0" w:after="100"/>
        <w:ind w:left="227"/>
        <w:jc w:val="both"/>
      </w:pPr>
      <w:r>
        <w:rPr>
          <w:rFonts w:ascii="Times New Roman" w:hAnsi="Times New Roman" w:eastAsia="宋体"/>
          <w:b w:val="0"/>
          <w:i w:val="0"/>
          <w:color w:val="000000"/>
          <w:sz w:val="20"/>
        </w:rPr>
        <w:t>注1：目标可以是战略的、战术的或运行层面的。</w:t>
      </w:r>
    </w:p>
    <w:p w14:paraId="3906C937">
      <w:pPr>
        <w:keepNext/>
        <w:spacing w:before="20" w:after="0"/>
        <w:ind w:left="227"/>
        <w:jc w:val="both"/>
      </w:pPr>
      <w:r>
        <w:rPr>
          <w:rFonts w:ascii="Times New Roman" w:hAnsi="Times New Roman" w:eastAsia="宋体"/>
          <w:b w:val="0"/>
          <w:i/>
          <w:color w:val="000000"/>
          <w:sz w:val="20"/>
        </w:rPr>
        <w:t>NOTE 2 to entry — Objectives can relate to different disciplines (e.g. finance, health and safety, environment). They can be, for example, organization-wide or specific to a project, product, service or process (3.8).</w:t>
      </w:r>
    </w:p>
    <w:p w14:paraId="5A268EDA">
      <w:pPr>
        <w:spacing w:before="0" w:after="100"/>
        <w:ind w:left="227"/>
        <w:jc w:val="both"/>
      </w:pPr>
      <w:r>
        <w:rPr>
          <w:rFonts w:ascii="Times New Roman" w:hAnsi="Times New Roman" w:eastAsia="宋体"/>
          <w:b w:val="0"/>
          <w:i w:val="0"/>
          <w:color w:val="000000"/>
          <w:sz w:val="20"/>
        </w:rPr>
        <w:t>注2：目标可涉及不同的领域（如财务、职业健康安全、环境）。例如，目标可以是全组织范围的，也可以是针对某个项目、产品、服务或过程（3.8）的。</w:t>
      </w:r>
    </w:p>
    <w:p w14:paraId="1F106A72">
      <w:pPr>
        <w:keepNext/>
        <w:spacing w:before="20" w:after="0"/>
        <w:ind w:left="227"/>
        <w:jc w:val="both"/>
      </w:pPr>
      <w:r>
        <w:rPr>
          <w:rFonts w:ascii="Times New Roman" w:hAnsi="Times New Roman" w:eastAsia="宋体"/>
          <w:b w:val="0"/>
          <w:i/>
          <w:color w:val="000000"/>
          <w:sz w:val="20"/>
        </w:rPr>
        <w:t>NOTE 3 to entry — An objective can be expressed in other ways, such as an intended result, as a purpose, as an operational criterion, as a quality objective (3.6.1) or by the use of other words with similar meaning (e.g. aim, goal, target).</w:t>
      </w:r>
    </w:p>
    <w:p w14:paraId="6868394B">
      <w:pPr>
        <w:spacing w:before="0" w:after="100"/>
        <w:ind w:left="227"/>
        <w:jc w:val="both"/>
      </w:pPr>
      <w:r>
        <w:rPr>
          <w:rFonts w:ascii="Times New Roman" w:hAnsi="Times New Roman" w:eastAsia="宋体"/>
          <w:b w:val="0"/>
          <w:i w:val="0"/>
          <w:color w:val="000000"/>
          <w:sz w:val="20"/>
        </w:rPr>
        <w:t>注3：目标可以用其他方式表述，如作为预期结果、目的、运行准则、质量目标（3.6.1），或使用具有类似含义的其他词语（如目的、企图、指标）。</w:t>
      </w:r>
    </w:p>
    <w:p w14:paraId="00F7A52E">
      <w:pPr>
        <w:keepNext/>
        <w:spacing w:before="20" w:after="0"/>
        <w:ind w:left="227"/>
        <w:jc w:val="both"/>
      </w:pPr>
      <w:r>
        <w:rPr>
          <w:rFonts w:ascii="Times New Roman" w:hAnsi="Times New Roman" w:eastAsia="宋体"/>
          <w:b w:val="0"/>
          <w:i/>
          <w:color w:val="000000"/>
          <w:sz w:val="20"/>
        </w:rPr>
        <w:t>NOTE 4 to entry — In the context of quality management systems (3.4.1), quality objectives (3.6.1) are set by the organization (3.1), consistent with the quality policy (3.5.1), to achieve specific results.</w:t>
      </w:r>
    </w:p>
    <w:p w14:paraId="24FF7D40">
      <w:pPr>
        <w:spacing w:before="0" w:after="100"/>
        <w:ind w:left="227"/>
        <w:jc w:val="both"/>
      </w:pPr>
      <w:r>
        <w:rPr>
          <w:rFonts w:ascii="Times New Roman" w:hAnsi="Times New Roman" w:eastAsia="宋体"/>
          <w:b w:val="0"/>
          <w:i w:val="0"/>
          <w:color w:val="000000"/>
          <w:sz w:val="20"/>
        </w:rPr>
        <w:t>注4：在质量管理体系（3.4.1）语境下，组织（3.1）制定与质量方针（3.5.1）保持一致的质量目标（3.6.1），以实现特定的结果。</w:t>
      </w:r>
    </w:p>
    <w:p w14:paraId="795884A8">
      <w:pPr>
        <w:keepNext/>
        <w:spacing w:before="200" w:after="0"/>
        <w:jc w:val="left"/>
      </w:pPr>
      <w:r>
        <w:rPr>
          <w:rFonts w:ascii="Times New Roman" w:hAnsi="Times New Roman" w:eastAsia="宋体"/>
          <w:b/>
          <w:i w:val="0"/>
          <w:color w:val="000000"/>
          <w:sz w:val="22"/>
        </w:rPr>
        <w:t>3.6.1  quality objective</w:t>
      </w:r>
    </w:p>
    <w:p w14:paraId="751E9692">
      <w:pPr>
        <w:spacing w:before="0" w:after="80"/>
        <w:jc w:val="left"/>
      </w:pPr>
      <w:r>
        <w:rPr>
          <w:rFonts w:ascii="Times New Roman" w:hAnsi="Times New Roman" w:eastAsia="黑体"/>
          <w:b w:val="0"/>
          <w:i w:val="0"/>
          <w:color w:val="000000"/>
          <w:sz w:val="22"/>
        </w:rPr>
        <w:t>3.6.1  质量目标</w:t>
      </w:r>
    </w:p>
    <w:p w14:paraId="36FC6A2C">
      <w:pPr>
        <w:keepNext/>
        <w:spacing w:before="60" w:after="0"/>
        <w:jc w:val="both"/>
      </w:pPr>
      <w:r>
        <w:rPr>
          <w:rFonts w:ascii="Times New Roman" w:hAnsi="Times New Roman" w:eastAsia="宋体"/>
          <w:b w:val="0"/>
          <w:i w:val="0"/>
          <w:color w:val="000000"/>
          <w:sz w:val="21"/>
        </w:rPr>
        <w:t>objective (3.6) related to quality</w:t>
      </w:r>
    </w:p>
    <w:p w14:paraId="1F8A9352">
      <w:pPr>
        <w:spacing w:before="0" w:after="100"/>
        <w:jc w:val="both"/>
      </w:pPr>
      <w:r>
        <w:rPr>
          <w:rFonts w:ascii="Times New Roman" w:hAnsi="Times New Roman" w:eastAsia="宋体"/>
          <w:b w:val="0"/>
          <w:i w:val="0"/>
          <w:color w:val="000000"/>
          <w:sz w:val="21"/>
        </w:rPr>
        <w:t>与质量有关的目标（3.6）。</w:t>
      </w:r>
    </w:p>
    <w:p w14:paraId="75146700">
      <w:pPr>
        <w:keepNext/>
        <w:spacing w:before="20" w:after="0"/>
        <w:ind w:left="227"/>
        <w:jc w:val="both"/>
      </w:pPr>
      <w:r>
        <w:rPr>
          <w:rFonts w:ascii="Times New Roman" w:hAnsi="Times New Roman" w:eastAsia="宋体"/>
          <w:b w:val="0"/>
          <w:i/>
          <w:color w:val="000000"/>
          <w:sz w:val="20"/>
        </w:rPr>
        <w:t>NOTE 1 to entry — Quality objectives are generally based on the organization's (3.1) quality policy (3.5.1).</w:t>
      </w:r>
    </w:p>
    <w:p w14:paraId="7E82A9B8">
      <w:pPr>
        <w:spacing w:before="0" w:after="100"/>
        <w:ind w:left="227"/>
        <w:jc w:val="both"/>
      </w:pPr>
      <w:r>
        <w:rPr>
          <w:rFonts w:ascii="Times New Roman" w:hAnsi="Times New Roman" w:eastAsia="宋体"/>
          <w:b w:val="0"/>
          <w:i w:val="0"/>
          <w:color w:val="000000"/>
          <w:sz w:val="20"/>
        </w:rPr>
        <w:t>注1：质量目标通常依据组织（3.1）的质量方针（3.5.1）制定。</w:t>
      </w:r>
    </w:p>
    <w:p w14:paraId="09A2B2A9">
      <w:pPr>
        <w:keepNext/>
        <w:spacing w:before="20" w:after="0"/>
        <w:ind w:left="227"/>
        <w:jc w:val="both"/>
      </w:pPr>
      <w:r>
        <w:rPr>
          <w:rFonts w:ascii="Times New Roman" w:hAnsi="Times New Roman" w:eastAsia="宋体"/>
          <w:b w:val="0"/>
          <w:i/>
          <w:color w:val="000000"/>
          <w:sz w:val="20"/>
        </w:rPr>
        <w:t>NOTE 2 to entry — Quality objectives are generally specified for relevant functions, levels and processes (3.8) in the organization.</w:t>
      </w:r>
    </w:p>
    <w:p w14:paraId="4712369D">
      <w:pPr>
        <w:spacing w:before="0" w:after="100"/>
        <w:ind w:left="227"/>
        <w:jc w:val="both"/>
      </w:pPr>
      <w:r>
        <w:rPr>
          <w:rFonts w:ascii="Times New Roman" w:hAnsi="Times New Roman" w:eastAsia="宋体"/>
          <w:b w:val="0"/>
          <w:i w:val="0"/>
          <w:color w:val="000000"/>
          <w:sz w:val="20"/>
        </w:rPr>
        <w:t>注2：通常对组织内的相关职能、层级和过程（3.8）分别规定质量目标。</w:t>
      </w:r>
    </w:p>
    <w:p w14:paraId="4D07CC27">
      <w:pPr>
        <w:keepNext/>
        <w:spacing w:before="200" w:after="0"/>
        <w:jc w:val="left"/>
      </w:pPr>
      <w:r>
        <w:rPr>
          <w:rFonts w:ascii="Times New Roman" w:hAnsi="Times New Roman" w:eastAsia="宋体"/>
          <w:b/>
          <w:i w:val="0"/>
          <w:color w:val="000000"/>
          <w:sz w:val="22"/>
        </w:rPr>
        <w:t>3.7  risk</w:t>
      </w:r>
    </w:p>
    <w:p w14:paraId="5F7837D4">
      <w:pPr>
        <w:spacing w:before="0" w:after="80"/>
        <w:jc w:val="left"/>
      </w:pPr>
      <w:r>
        <w:rPr>
          <w:rFonts w:ascii="Times New Roman" w:hAnsi="Times New Roman" w:eastAsia="黑体"/>
          <w:b w:val="0"/>
          <w:i w:val="0"/>
          <w:color w:val="000000"/>
          <w:sz w:val="22"/>
        </w:rPr>
        <w:t>3.7  风险</w:t>
      </w:r>
    </w:p>
    <w:p w14:paraId="683C99F3">
      <w:pPr>
        <w:keepNext/>
        <w:spacing w:before="60" w:after="0"/>
        <w:jc w:val="both"/>
      </w:pPr>
      <w:r>
        <w:rPr>
          <w:rFonts w:ascii="Times New Roman" w:hAnsi="Times New Roman" w:eastAsia="宋体"/>
          <w:b w:val="0"/>
          <w:i w:val="0"/>
          <w:color w:val="000000"/>
          <w:sz w:val="21"/>
        </w:rPr>
        <w:t>effect of uncertainty</w:t>
      </w:r>
    </w:p>
    <w:p w14:paraId="748A9DA5">
      <w:pPr>
        <w:spacing w:before="0" w:after="100"/>
        <w:jc w:val="both"/>
      </w:pPr>
      <w:r>
        <w:rPr>
          <w:rFonts w:ascii="Times New Roman" w:hAnsi="Times New Roman" w:eastAsia="宋体"/>
          <w:b w:val="0"/>
          <w:i w:val="0"/>
          <w:color w:val="000000"/>
          <w:sz w:val="21"/>
        </w:rPr>
        <w:t>不确定性的影响。</w:t>
      </w:r>
    </w:p>
    <w:p w14:paraId="3DAAD9FF">
      <w:pPr>
        <w:keepNext/>
        <w:spacing w:before="20" w:after="0"/>
        <w:ind w:left="227"/>
        <w:jc w:val="both"/>
      </w:pPr>
      <w:r>
        <w:rPr>
          <w:rFonts w:ascii="Times New Roman" w:hAnsi="Times New Roman" w:eastAsia="宋体"/>
          <w:b w:val="0"/>
          <w:i/>
          <w:color w:val="000000"/>
          <w:sz w:val="20"/>
        </w:rPr>
        <w:t>NOTE 1 to entry — An effect is a deviation from the expected — positive or negative.</w:t>
      </w:r>
    </w:p>
    <w:p w14:paraId="59439B28">
      <w:pPr>
        <w:spacing w:before="0" w:after="100"/>
        <w:ind w:left="227"/>
        <w:jc w:val="both"/>
      </w:pPr>
      <w:r>
        <w:rPr>
          <w:rFonts w:ascii="Times New Roman" w:hAnsi="Times New Roman" w:eastAsia="宋体"/>
          <w:b w:val="0"/>
          <w:i w:val="0"/>
          <w:color w:val="000000"/>
          <w:sz w:val="20"/>
        </w:rPr>
        <w:t>注1：影响是指偏离预期，可以是正面的或负面的。</w:t>
      </w:r>
    </w:p>
    <w:p w14:paraId="2C08E654">
      <w:pPr>
        <w:keepNext/>
        <w:spacing w:before="20" w:after="0"/>
        <w:ind w:left="227"/>
        <w:jc w:val="both"/>
      </w:pPr>
      <w:r>
        <w:rPr>
          <w:rFonts w:ascii="Times New Roman" w:hAnsi="Times New Roman" w:eastAsia="宋体"/>
          <w:b w:val="0"/>
          <w:i/>
          <w:color w:val="000000"/>
          <w:sz w:val="20"/>
        </w:rPr>
        <w:t>NOTE 2 to entry — Uncertainty is the state, even partial, of deficiency of information related to, understanding or knowledge of, an event, its consequence, or likelihood.</w:t>
      </w:r>
    </w:p>
    <w:p w14:paraId="17B47398">
      <w:pPr>
        <w:spacing w:before="0" w:after="100"/>
        <w:ind w:left="227"/>
        <w:jc w:val="both"/>
      </w:pPr>
      <w:r>
        <w:rPr>
          <w:rFonts w:ascii="Times New Roman" w:hAnsi="Times New Roman" w:eastAsia="宋体"/>
          <w:b w:val="0"/>
          <w:i w:val="0"/>
          <w:color w:val="000000"/>
          <w:sz w:val="20"/>
        </w:rPr>
        <w:t>注2：不确定性是指对某一事件、其后果或其可能性的认知缺失（哪怕是部分缺失）的状态，包括对事件的理解或知识的缺失。</w:t>
      </w:r>
    </w:p>
    <w:p w14:paraId="0430C42F">
      <w:pPr>
        <w:keepNext/>
        <w:spacing w:before="20" w:after="0"/>
        <w:ind w:left="227"/>
        <w:jc w:val="both"/>
      </w:pPr>
      <w:r>
        <w:rPr>
          <w:rFonts w:ascii="Times New Roman" w:hAnsi="Times New Roman" w:eastAsia="宋体"/>
          <w:b w:val="0"/>
          <w:i/>
          <w:color w:val="000000"/>
          <w:sz w:val="20"/>
        </w:rPr>
        <w:t>NOTE 3 to entry — Risk is often characterized by reference to potential events and consequences, or a combination of these.</w:t>
      </w:r>
    </w:p>
    <w:p w14:paraId="47DD287B">
      <w:pPr>
        <w:spacing w:before="0" w:after="100"/>
        <w:ind w:left="227"/>
        <w:jc w:val="both"/>
      </w:pPr>
      <w:r>
        <w:rPr>
          <w:rFonts w:ascii="Times New Roman" w:hAnsi="Times New Roman" w:eastAsia="宋体"/>
          <w:b w:val="0"/>
          <w:i w:val="0"/>
          <w:color w:val="000000"/>
          <w:sz w:val="20"/>
        </w:rPr>
        <w:t>注3：风险通常以潜在事件及其后果、或二者的组合来表征。</w:t>
      </w:r>
    </w:p>
    <w:p w14:paraId="76C2A3BD">
      <w:pPr>
        <w:keepNext/>
        <w:spacing w:before="20" w:after="0"/>
        <w:ind w:left="227"/>
        <w:jc w:val="both"/>
      </w:pPr>
      <w:r>
        <w:rPr>
          <w:rFonts w:ascii="Times New Roman" w:hAnsi="Times New Roman" w:eastAsia="宋体"/>
          <w:b w:val="0"/>
          <w:i/>
          <w:color w:val="000000"/>
          <w:sz w:val="20"/>
        </w:rPr>
        <w:t>NOTE 4 to entry — Risk is often expressed in terms of a combination of the consequences of an event (including changes in circumstances) and the associated likelihood of occurrence.</w:t>
      </w:r>
    </w:p>
    <w:p w14:paraId="17EDA8FF">
      <w:pPr>
        <w:spacing w:before="0" w:after="100"/>
        <w:ind w:left="227"/>
        <w:jc w:val="both"/>
      </w:pPr>
      <w:r>
        <w:rPr>
          <w:rFonts w:ascii="Times New Roman" w:hAnsi="Times New Roman" w:eastAsia="宋体"/>
          <w:b w:val="0"/>
          <w:i w:val="0"/>
          <w:color w:val="000000"/>
          <w:sz w:val="20"/>
        </w:rPr>
        <w:t>注4：风险通常以某一事件（包括环境变化）的后果及其发生的可能性的组合来表示。</w:t>
      </w:r>
    </w:p>
    <w:p w14:paraId="4ED1853C">
      <w:pPr>
        <w:keepNext/>
        <w:spacing w:before="20" w:after="0"/>
        <w:ind w:left="227"/>
        <w:jc w:val="both"/>
      </w:pPr>
      <w:r>
        <w:rPr>
          <w:rFonts w:ascii="Times New Roman" w:hAnsi="Times New Roman" w:eastAsia="宋体"/>
          <w:b w:val="0"/>
          <w:i/>
          <w:color w:val="000000"/>
          <w:sz w:val="20"/>
        </w:rPr>
        <w:t>NOTE 5 to entry — The word “risk” is sometimes used when there is the possibility of only negative consequences.</w:t>
      </w:r>
    </w:p>
    <w:p w14:paraId="0AB3F6BD">
      <w:pPr>
        <w:spacing w:before="0" w:after="100"/>
        <w:ind w:left="227"/>
        <w:jc w:val="both"/>
      </w:pPr>
      <w:r>
        <w:rPr>
          <w:rFonts w:ascii="Times New Roman" w:hAnsi="Times New Roman" w:eastAsia="宋体"/>
          <w:b w:val="0"/>
          <w:i w:val="0"/>
          <w:color w:val="000000"/>
          <w:sz w:val="20"/>
        </w:rPr>
        <w:t>注5：仅可能出现负面后果时，有时使用“风险”一词。</w:t>
      </w:r>
    </w:p>
    <w:p w14:paraId="50FA71C1">
      <w:pPr>
        <w:keepNext/>
        <w:spacing w:before="200" w:after="0"/>
        <w:jc w:val="left"/>
      </w:pPr>
      <w:r>
        <w:rPr>
          <w:rFonts w:ascii="Times New Roman" w:hAnsi="Times New Roman" w:eastAsia="宋体"/>
          <w:b/>
          <w:i w:val="0"/>
          <w:color w:val="000000"/>
          <w:sz w:val="22"/>
        </w:rPr>
        <w:t>3.8  process</w:t>
      </w:r>
    </w:p>
    <w:p w14:paraId="3177C71E">
      <w:pPr>
        <w:spacing w:before="0" w:after="80"/>
        <w:jc w:val="left"/>
      </w:pPr>
      <w:r>
        <w:rPr>
          <w:rFonts w:ascii="Times New Roman" w:hAnsi="Times New Roman" w:eastAsia="黑体"/>
          <w:b w:val="0"/>
          <w:i w:val="0"/>
          <w:color w:val="000000"/>
          <w:sz w:val="22"/>
        </w:rPr>
        <w:t>3.8  过程</w:t>
      </w:r>
    </w:p>
    <w:p w14:paraId="248C9C43">
      <w:pPr>
        <w:keepNext/>
        <w:spacing w:before="60" w:after="0"/>
        <w:jc w:val="both"/>
      </w:pPr>
      <w:r>
        <w:rPr>
          <w:rFonts w:ascii="Times New Roman" w:hAnsi="Times New Roman" w:eastAsia="宋体"/>
          <w:b w:val="0"/>
          <w:i w:val="0"/>
          <w:color w:val="000000"/>
          <w:sz w:val="21"/>
        </w:rPr>
        <w:t>set of interrelated or interacting activities that uses or transforms inputs to deliver a result</w:t>
      </w:r>
    </w:p>
    <w:p w14:paraId="668BBA9B">
      <w:pPr>
        <w:spacing w:before="0" w:after="100"/>
        <w:jc w:val="both"/>
      </w:pPr>
      <w:r>
        <w:rPr>
          <w:rFonts w:ascii="Times New Roman" w:hAnsi="Times New Roman" w:eastAsia="宋体"/>
          <w:b w:val="0"/>
          <w:i w:val="0"/>
          <w:color w:val="000000"/>
          <w:sz w:val="21"/>
        </w:rPr>
        <w:t>利用输入并将输入转化为结果的一组相互关联或相互作用的活动。</w:t>
      </w:r>
    </w:p>
    <w:p w14:paraId="33D5AFE4">
      <w:pPr>
        <w:keepNext/>
        <w:spacing w:before="20" w:after="0"/>
        <w:ind w:left="227"/>
        <w:jc w:val="both"/>
      </w:pPr>
      <w:r>
        <w:rPr>
          <w:rFonts w:ascii="Times New Roman" w:hAnsi="Times New Roman" w:eastAsia="宋体"/>
          <w:b w:val="0"/>
          <w:i/>
          <w:color w:val="000000"/>
          <w:sz w:val="20"/>
        </w:rPr>
        <w:t>NOTE 1 to entry — Whether the result of a process is called an output, a product or a service depends on the context of the reference.</w:t>
      </w:r>
    </w:p>
    <w:p w14:paraId="22A44968">
      <w:pPr>
        <w:spacing w:before="0" w:after="100"/>
        <w:ind w:left="227"/>
        <w:jc w:val="both"/>
      </w:pPr>
      <w:r>
        <w:rPr>
          <w:rFonts w:ascii="Times New Roman" w:hAnsi="Times New Roman" w:eastAsia="宋体"/>
          <w:b w:val="0"/>
          <w:i w:val="0"/>
          <w:color w:val="000000"/>
          <w:sz w:val="20"/>
        </w:rPr>
        <w:t>注1：过程的结果取决于引用的语境，可称为输出、产品或服务。</w:t>
      </w:r>
    </w:p>
    <w:p w14:paraId="21EFE93F">
      <w:pPr>
        <w:keepNext/>
        <w:spacing w:before="20" w:after="0"/>
        <w:ind w:left="227"/>
        <w:jc w:val="both"/>
      </w:pPr>
      <w:r>
        <w:rPr>
          <w:rFonts w:ascii="Times New Roman" w:hAnsi="Times New Roman" w:eastAsia="宋体"/>
          <w:b w:val="0"/>
          <w:i/>
          <w:color w:val="000000"/>
          <w:sz w:val="20"/>
        </w:rPr>
        <w:t>NOTE 2 to entry — Inputs to a process are generally the outputs of other processes, and outputs of a process are generally the inputs to other processes.</w:t>
      </w:r>
    </w:p>
    <w:p w14:paraId="4E85E90C">
      <w:pPr>
        <w:spacing w:before="0" w:after="100"/>
        <w:ind w:left="227"/>
        <w:jc w:val="both"/>
      </w:pPr>
      <w:r>
        <w:rPr>
          <w:rFonts w:ascii="Times New Roman" w:hAnsi="Times New Roman" w:eastAsia="宋体"/>
          <w:b w:val="0"/>
          <w:i w:val="0"/>
          <w:color w:val="000000"/>
          <w:sz w:val="20"/>
        </w:rPr>
        <w:t>注2：过程的输入通常是其他过程的输出，过程的输出通常是其他过程的输入。</w:t>
      </w:r>
    </w:p>
    <w:p w14:paraId="18CCDA4D">
      <w:pPr>
        <w:keepNext/>
        <w:spacing w:before="20" w:after="0"/>
        <w:ind w:left="227"/>
        <w:jc w:val="both"/>
      </w:pPr>
      <w:r>
        <w:rPr>
          <w:rFonts w:ascii="Times New Roman" w:hAnsi="Times New Roman" w:eastAsia="宋体"/>
          <w:b w:val="0"/>
          <w:i/>
          <w:color w:val="000000"/>
          <w:sz w:val="20"/>
        </w:rPr>
        <w:t>NOTE 3 to entry — Two or more interrelated and interacting processes in series can also be referred to as a “process”.</w:t>
      </w:r>
    </w:p>
    <w:p w14:paraId="6E508A0C">
      <w:pPr>
        <w:spacing w:before="0" w:after="100"/>
        <w:ind w:left="227"/>
        <w:jc w:val="both"/>
      </w:pPr>
      <w:r>
        <w:rPr>
          <w:rFonts w:ascii="Times New Roman" w:hAnsi="Times New Roman" w:eastAsia="宋体"/>
          <w:b w:val="0"/>
          <w:i w:val="0"/>
          <w:color w:val="000000"/>
          <w:sz w:val="20"/>
        </w:rPr>
        <w:t>注3：两个或两个以上相互关联、相互作用的连续过程，也可作为一个“过程”。</w:t>
      </w:r>
    </w:p>
    <w:p w14:paraId="5138372C">
      <w:pPr>
        <w:keepNext/>
        <w:spacing w:before="20" w:after="0"/>
        <w:ind w:left="227"/>
        <w:jc w:val="both"/>
      </w:pPr>
      <w:r>
        <w:rPr>
          <w:rFonts w:ascii="Times New Roman" w:hAnsi="Times New Roman" w:eastAsia="宋体"/>
          <w:b w:val="0"/>
          <w:i/>
          <w:color w:val="000000"/>
          <w:sz w:val="20"/>
        </w:rPr>
        <w:t>NOTE 4 to entry — Processes in an organization (3.1) are generally planned and carried out under controlled conditions to ensure that intended results can be achieved.</w:t>
      </w:r>
    </w:p>
    <w:p w14:paraId="6CBFE887">
      <w:pPr>
        <w:spacing w:before="0" w:after="100"/>
        <w:ind w:left="227"/>
        <w:jc w:val="both"/>
      </w:pPr>
      <w:r>
        <w:rPr>
          <w:rFonts w:ascii="Times New Roman" w:hAnsi="Times New Roman" w:eastAsia="宋体"/>
          <w:b w:val="0"/>
          <w:i w:val="0"/>
          <w:color w:val="000000"/>
          <w:sz w:val="20"/>
        </w:rPr>
        <w:t>注4：组织（3.1）中的过程通常在受控条件下进行策划和实施，以确保能够实现预期结果。</w:t>
      </w:r>
    </w:p>
    <w:p w14:paraId="3F317272">
      <w:pPr>
        <w:keepNext/>
        <w:spacing w:before="20" w:after="0"/>
        <w:ind w:left="227"/>
        <w:jc w:val="both"/>
      </w:pPr>
      <w:r>
        <w:rPr>
          <w:rFonts w:ascii="Times New Roman" w:hAnsi="Times New Roman" w:eastAsia="宋体"/>
          <w:b w:val="0"/>
          <w:i/>
          <w:color w:val="000000"/>
          <w:sz w:val="20"/>
        </w:rPr>
        <w:t>NOTE 5 to entry — A process where the conformity (3.15) of the resulting output cannot be readily or economically validated is frequently referred to as a “special process”.</w:t>
      </w:r>
    </w:p>
    <w:p w14:paraId="1A8B0891">
      <w:pPr>
        <w:spacing w:before="0" w:after="100"/>
        <w:ind w:left="227"/>
        <w:jc w:val="both"/>
      </w:pPr>
      <w:r>
        <w:rPr>
          <w:rFonts w:ascii="Times New Roman" w:hAnsi="Times New Roman" w:eastAsia="宋体"/>
          <w:b w:val="0"/>
          <w:i w:val="0"/>
          <w:color w:val="000000"/>
          <w:sz w:val="20"/>
        </w:rPr>
        <w:t>注5：输出结果的合格（3.15）不能方便地或经济地予以证实的过程，通常称为“特殊过程”。</w:t>
      </w:r>
    </w:p>
    <w:p w14:paraId="1D6C5709">
      <w:pPr>
        <w:keepNext/>
        <w:spacing w:before="200" w:after="0"/>
        <w:jc w:val="left"/>
      </w:pPr>
      <w:r>
        <w:rPr>
          <w:rFonts w:ascii="Times New Roman" w:hAnsi="Times New Roman" w:eastAsia="宋体"/>
          <w:b/>
          <w:i w:val="0"/>
          <w:color w:val="000000"/>
          <w:sz w:val="22"/>
        </w:rPr>
        <w:t>3.9  competence</w:t>
      </w:r>
    </w:p>
    <w:p w14:paraId="4971A15C">
      <w:pPr>
        <w:spacing w:before="0" w:after="80"/>
        <w:jc w:val="left"/>
      </w:pPr>
      <w:r>
        <w:rPr>
          <w:rFonts w:ascii="Times New Roman" w:hAnsi="Times New Roman" w:eastAsia="黑体"/>
          <w:b w:val="0"/>
          <w:i w:val="0"/>
          <w:color w:val="000000"/>
          <w:sz w:val="22"/>
        </w:rPr>
        <w:t>3.9  能力</w:t>
      </w:r>
    </w:p>
    <w:p w14:paraId="3C757C0D">
      <w:pPr>
        <w:keepNext/>
        <w:spacing w:before="60" w:after="0"/>
        <w:jc w:val="both"/>
      </w:pPr>
      <w:r>
        <w:rPr>
          <w:rFonts w:ascii="Times New Roman" w:hAnsi="Times New Roman" w:eastAsia="宋体"/>
          <w:b w:val="0"/>
          <w:i w:val="0"/>
          <w:color w:val="000000"/>
          <w:sz w:val="21"/>
        </w:rPr>
        <w:t>ability to apply knowledge and skills to achieve intended results</w:t>
      </w:r>
    </w:p>
    <w:p w14:paraId="01A8AE6F">
      <w:pPr>
        <w:spacing w:before="0" w:after="100"/>
        <w:jc w:val="both"/>
      </w:pPr>
      <w:r>
        <w:rPr>
          <w:rFonts w:ascii="Times New Roman" w:hAnsi="Times New Roman" w:eastAsia="宋体"/>
          <w:b w:val="0"/>
          <w:i w:val="0"/>
          <w:color w:val="000000"/>
          <w:sz w:val="21"/>
        </w:rPr>
        <w:t>应用知识和技能实现预期结果的本领。</w:t>
      </w:r>
    </w:p>
    <w:p w14:paraId="5760F689">
      <w:pPr>
        <w:keepNext/>
        <w:spacing w:before="200" w:after="0"/>
        <w:jc w:val="left"/>
      </w:pPr>
      <w:r>
        <w:rPr>
          <w:rFonts w:ascii="Times New Roman" w:hAnsi="Times New Roman" w:eastAsia="宋体"/>
          <w:b/>
          <w:i w:val="0"/>
          <w:color w:val="000000"/>
          <w:sz w:val="22"/>
        </w:rPr>
        <w:t>3.10  documented information</w:t>
      </w:r>
    </w:p>
    <w:p w14:paraId="189C856B">
      <w:pPr>
        <w:spacing w:before="0" w:after="80"/>
        <w:jc w:val="left"/>
      </w:pPr>
      <w:r>
        <w:rPr>
          <w:rFonts w:ascii="Times New Roman" w:hAnsi="Times New Roman" w:eastAsia="黑体"/>
          <w:b w:val="0"/>
          <w:i w:val="0"/>
          <w:color w:val="000000"/>
          <w:sz w:val="22"/>
        </w:rPr>
        <w:t>3.10  成文信息</w:t>
      </w:r>
    </w:p>
    <w:p w14:paraId="62136AE1">
      <w:pPr>
        <w:keepNext/>
        <w:spacing w:before="60" w:after="0"/>
        <w:jc w:val="both"/>
      </w:pPr>
      <w:r>
        <w:rPr>
          <w:rFonts w:ascii="Times New Roman" w:hAnsi="Times New Roman" w:eastAsia="宋体"/>
          <w:b w:val="0"/>
          <w:i w:val="0"/>
          <w:color w:val="000000"/>
          <w:sz w:val="21"/>
        </w:rPr>
        <w:t>information required to be controlled and maintained by an organization (3.1) and the medium on which it is contained</w:t>
      </w:r>
    </w:p>
    <w:p w14:paraId="2A541684">
      <w:pPr>
        <w:spacing w:before="0" w:after="100"/>
        <w:jc w:val="both"/>
      </w:pPr>
      <w:r>
        <w:rPr>
          <w:rFonts w:ascii="Times New Roman" w:hAnsi="Times New Roman" w:eastAsia="宋体"/>
          <w:b w:val="0"/>
          <w:i w:val="0"/>
          <w:color w:val="000000"/>
          <w:sz w:val="21"/>
        </w:rPr>
        <w:t>组织（3.1）需要控制和保持的信息及其载体。</w:t>
      </w:r>
    </w:p>
    <w:p w14:paraId="17746E7D">
      <w:pPr>
        <w:keepNext/>
        <w:spacing w:before="20" w:after="0"/>
        <w:ind w:left="227"/>
        <w:jc w:val="both"/>
      </w:pPr>
      <w:r>
        <w:rPr>
          <w:rFonts w:ascii="Times New Roman" w:hAnsi="Times New Roman" w:eastAsia="宋体"/>
          <w:b w:val="0"/>
          <w:i/>
          <w:color w:val="000000"/>
          <w:sz w:val="20"/>
        </w:rPr>
        <w:t>NOTE 1 to entry — Documented information can be in any format and media and from any source.</w:t>
      </w:r>
    </w:p>
    <w:p w14:paraId="6A0A0B59">
      <w:pPr>
        <w:spacing w:before="0" w:after="100"/>
        <w:ind w:left="227"/>
        <w:jc w:val="both"/>
      </w:pPr>
      <w:r>
        <w:rPr>
          <w:rFonts w:ascii="Times New Roman" w:hAnsi="Times New Roman" w:eastAsia="宋体"/>
          <w:b w:val="0"/>
          <w:i w:val="0"/>
          <w:color w:val="000000"/>
          <w:sz w:val="20"/>
        </w:rPr>
        <w:t>注1：成文信息可以任何格式和载体存在，并可来自任何来源。</w:t>
      </w:r>
    </w:p>
    <w:p w14:paraId="11E331ED">
      <w:pPr>
        <w:keepNext/>
        <w:spacing w:before="20" w:after="0"/>
        <w:ind w:left="227"/>
        <w:jc w:val="both"/>
      </w:pPr>
      <w:r>
        <w:rPr>
          <w:rFonts w:ascii="Times New Roman" w:hAnsi="Times New Roman" w:eastAsia="宋体"/>
          <w:b w:val="0"/>
          <w:i/>
          <w:color w:val="000000"/>
          <w:sz w:val="20"/>
        </w:rPr>
        <w:t>NOTE 2 to entry — Documented information can refer to:</w:t>
      </w:r>
    </w:p>
    <w:p w14:paraId="68708744">
      <w:pPr>
        <w:spacing w:before="0" w:after="100"/>
        <w:ind w:left="227"/>
        <w:jc w:val="both"/>
      </w:pPr>
      <w:r>
        <w:rPr>
          <w:rFonts w:ascii="Times New Roman" w:hAnsi="Times New Roman" w:eastAsia="宋体"/>
          <w:b w:val="0"/>
          <w:i w:val="0"/>
          <w:color w:val="000000"/>
          <w:sz w:val="20"/>
        </w:rPr>
        <w:t>注2：成文信息可涉及：</w:t>
      </w:r>
    </w:p>
    <w:p w14:paraId="309CC5F6">
      <w:pPr>
        <w:keepNext/>
        <w:spacing w:before="20" w:after="0"/>
        <w:ind w:left="720" w:hanging="363"/>
        <w:jc w:val="both"/>
      </w:pPr>
      <w:r>
        <w:rPr>
          <w:rFonts w:ascii="Times New Roman" w:hAnsi="Times New Roman" w:eastAsia="宋体"/>
          <w:b w:val="0"/>
          <w:i w:val="0"/>
          <w:color w:val="000000"/>
          <w:sz w:val="21"/>
        </w:rPr>
        <w:t>— the management system (3.4), including related processes (3.8);</w:t>
      </w:r>
    </w:p>
    <w:p w14:paraId="7ED86AED">
      <w:pPr>
        <w:spacing w:before="0" w:after="60"/>
        <w:ind w:left="720" w:hanging="363"/>
        <w:jc w:val="both"/>
      </w:pPr>
      <w:r>
        <w:rPr>
          <w:rFonts w:ascii="Times New Roman" w:hAnsi="Times New Roman" w:eastAsia="宋体"/>
          <w:b w:val="0"/>
          <w:i w:val="0"/>
          <w:color w:val="000000"/>
          <w:sz w:val="21"/>
        </w:rPr>
        <w:t>—— 管理体系（3.4），包括相关过程（3.8）；</w:t>
      </w:r>
    </w:p>
    <w:p w14:paraId="17422855">
      <w:pPr>
        <w:keepNext/>
        <w:spacing w:before="20" w:after="0"/>
        <w:ind w:left="720" w:hanging="363"/>
        <w:jc w:val="both"/>
      </w:pPr>
      <w:r>
        <w:rPr>
          <w:rFonts w:ascii="Times New Roman" w:hAnsi="Times New Roman" w:eastAsia="宋体"/>
          <w:b w:val="0"/>
          <w:i w:val="0"/>
          <w:color w:val="000000"/>
          <w:sz w:val="21"/>
        </w:rPr>
        <w:t>— information created in order for the organization to operate (documentation);</w:t>
      </w:r>
    </w:p>
    <w:p w14:paraId="222848D6">
      <w:pPr>
        <w:spacing w:before="0" w:after="60"/>
        <w:ind w:left="720" w:hanging="363"/>
        <w:jc w:val="both"/>
      </w:pPr>
      <w:r>
        <w:rPr>
          <w:rFonts w:ascii="Times New Roman" w:hAnsi="Times New Roman" w:eastAsia="宋体"/>
          <w:b w:val="0"/>
          <w:i w:val="0"/>
          <w:color w:val="000000"/>
          <w:sz w:val="21"/>
        </w:rPr>
        <w:t>—— 为组织运行而创建的信息（一组文件）；</w:t>
      </w:r>
    </w:p>
    <w:p w14:paraId="0EDDA010">
      <w:pPr>
        <w:keepNext/>
        <w:spacing w:before="20" w:after="0"/>
        <w:ind w:left="720" w:hanging="363"/>
        <w:jc w:val="both"/>
      </w:pPr>
      <w:r>
        <w:rPr>
          <w:rFonts w:ascii="Times New Roman" w:hAnsi="Times New Roman" w:eastAsia="宋体"/>
          <w:b w:val="0"/>
          <w:i w:val="0"/>
          <w:color w:val="000000"/>
          <w:sz w:val="21"/>
        </w:rPr>
        <w:t>— evidence of results achieved (records).</w:t>
      </w:r>
    </w:p>
    <w:p w14:paraId="053AD590">
      <w:pPr>
        <w:spacing w:before="0" w:after="60"/>
        <w:ind w:left="720" w:hanging="363"/>
        <w:jc w:val="both"/>
      </w:pPr>
      <w:r>
        <w:rPr>
          <w:rFonts w:ascii="Times New Roman" w:hAnsi="Times New Roman" w:eastAsia="宋体"/>
          <w:b w:val="0"/>
          <w:i w:val="0"/>
          <w:color w:val="000000"/>
          <w:sz w:val="21"/>
        </w:rPr>
        <w:t>—— 结果实现的证据（记录）。</w:t>
      </w:r>
    </w:p>
    <w:p w14:paraId="6A267B36">
      <w:pPr>
        <w:keepNext/>
        <w:spacing w:before="200" w:after="0"/>
        <w:jc w:val="left"/>
      </w:pPr>
      <w:r>
        <w:rPr>
          <w:rFonts w:ascii="Times New Roman" w:hAnsi="Times New Roman" w:eastAsia="宋体"/>
          <w:b/>
          <w:i w:val="0"/>
          <w:color w:val="000000"/>
          <w:sz w:val="22"/>
        </w:rPr>
        <w:t>3.11  performance</w:t>
      </w:r>
    </w:p>
    <w:p w14:paraId="76C30E5B">
      <w:pPr>
        <w:spacing w:before="0" w:after="80"/>
        <w:jc w:val="left"/>
      </w:pPr>
      <w:r>
        <w:rPr>
          <w:rFonts w:ascii="Times New Roman" w:hAnsi="Times New Roman" w:eastAsia="黑体"/>
          <w:b w:val="0"/>
          <w:i w:val="0"/>
          <w:color w:val="000000"/>
          <w:sz w:val="22"/>
        </w:rPr>
        <w:t>3.11  绩效</w:t>
      </w:r>
    </w:p>
    <w:p w14:paraId="73D5B57F">
      <w:pPr>
        <w:keepNext/>
        <w:spacing w:before="60" w:after="0"/>
        <w:jc w:val="both"/>
      </w:pPr>
      <w:r>
        <w:rPr>
          <w:rFonts w:ascii="Times New Roman" w:hAnsi="Times New Roman" w:eastAsia="宋体"/>
          <w:b w:val="0"/>
          <w:i w:val="0"/>
          <w:color w:val="000000"/>
          <w:sz w:val="21"/>
        </w:rPr>
        <w:t>measurable result</w:t>
      </w:r>
    </w:p>
    <w:p w14:paraId="23981F2F">
      <w:pPr>
        <w:spacing w:before="0" w:after="100"/>
        <w:jc w:val="both"/>
      </w:pPr>
      <w:r>
        <w:rPr>
          <w:rFonts w:ascii="Times New Roman" w:hAnsi="Times New Roman" w:eastAsia="宋体"/>
          <w:b w:val="0"/>
          <w:i w:val="0"/>
          <w:color w:val="000000"/>
          <w:sz w:val="21"/>
        </w:rPr>
        <w:t>可测量的结果。</w:t>
      </w:r>
    </w:p>
    <w:p w14:paraId="41040BA7">
      <w:pPr>
        <w:keepNext/>
        <w:spacing w:before="20" w:after="0"/>
        <w:ind w:left="227"/>
        <w:jc w:val="both"/>
      </w:pPr>
      <w:r>
        <w:rPr>
          <w:rFonts w:ascii="Times New Roman" w:hAnsi="Times New Roman" w:eastAsia="宋体"/>
          <w:b w:val="0"/>
          <w:i/>
          <w:color w:val="000000"/>
          <w:sz w:val="20"/>
        </w:rPr>
        <w:t>NOTE 1 to entry — Performance can relate either to quantitative or qualitative findings.</w:t>
      </w:r>
    </w:p>
    <w:p w14:paraId="4E917DAE">
      <w:pPr>
        <w:spacing w:before="0" w:after="100"/>
        <w:ind w:left="227"/>
        <w:jc w:val="both"/>
      </w:pPr>
      <w:r>
        <w:rPr>
          <w:rFonts w:ascii="Times New Roman" w:hAnsi="Times New Roman" w:eastAsia="宋体"/>
          <w:b w:val="0"/>
          <w:i w:val="0"/>
          <w:color w:val="000000"/>
          <w:sz w:val="20"/>
        </w:rPr>
        <w:t>注1：绩效可涉及定量的或定性的结果。</w:t>
      </w:r>
    </w:p>
    <w:p w14:paraId="31465199">
      <w:pPr>
        <w:keepNext/>
        <w:spacing w:before="20" w:after="0"/>
        <w:ind w:left="227"/>
        <w:jc w:val="both"/>
      </w:pPr>
      <w:r>
        <w:rPr>
          <w:rFonts w:ascii="Times New Roman" w:hAnsi="Times New Roman" w:eastAsia="宋体"/>
          <w:b w:val="0"/>
          <w:i/>
          <w:color w:val="000000"/>
          <w:sz w:val="20"/>
        </w:rPr>
        <w:t>NOTE 2 to entry — Performance can relate to managing activities, processes (3.8), products, services, systems or organizations (3.1).</w:t>
      </w:r>
    </w:p>
    <w:p w14:paraId="2AA18E70">
      <w:pPr>
        <w:spacing w:before="0" w:after="100"/>
        <w:ind w:left="227"/>
        <w:jc w:val="both"/>
      </w:pPr>
      <w:r>
        <w:rPr>
          <w:rFonts w:ascii="Times New Roman" w:hAnsi="Times New Roman" w:eastAsia="宋体"/>
          <w:b w:val="0"/>
          <w:i w:val="0"/>
          <w:color w:val="000000"/>
          <w:sz w:val="20"/>
        </w:rPr>
        <w:t>注2：绩效可涉及活动、过程（3.8）、产品、服务、体系或组织（3.1）的管理。</w:t>
      </w:r>
    </w:p>
    <w:p w14:paraId="5D294475">
      <w:pPr>
        <w:keepNext/>
        <w:spacing w:before="200" w:after="0"/>
        <w:jc w:val="left"/>
      </w:pPr>
      <w:r>
        <w:rPr>
          <w:rFonts w:ascii="Times New Roman" w:hAnsi="Times New Roman" w:eastAsia="宋体"/>
          <w:b/>
          <w:i w:val="0"/>
          <w:color w:val="000000"/>
          <w:sz w:val="22"/>
        </w:rPr>
        <w:t>3.12  continual improvement</w:t>
      </w:r>
    </w:p>
    <w:p w14:paraId="0CC219AC">
      <w:pPr>
        <w:spacing w:before="0" w:after="80"/>
        <w:jc w:val="left"/>
      </w:pPr>
      <w:r>
        <w:rPr>
          <w:rFonts w:ascii="Times New Roman" w:hAnsi="Times New Roman" w:eastAsia="黑体"/>
          <w:b w:val="0"/>
          <w:i w:val="0"/>
          <w:color w:val="000000"/>
          <w:sz w:val="22"/>
        </w:rPr>
        <w:t>3.12  持续改进</w:t>
      </w:r>
    </w:p>
    <w:p w14:paraId="72CE3BA9">
      <w:pPr>
        <w:keepNext/>
        <w:spacing w:before="60" w:after="0"/>
        <w:jc w:val="both"/>
      </w:pPr>
      <w:r>
        <w:rPr>
          <w:rFonts w:ascii="Times New Roman" w:hAnsi="Times New Roman" w:eastAsia="宋体"/>
          <w:b w:val="0"/>
          <w:i w:val="0"/>
          <w:color w:val="000000"/>
          <w:sz w:val="21"/>
        </w:rPr>
        <w:t>recurring activity to enhance performance (3.11)</w:t>
      </w:r>
    </w:p>
    <w:p w14:paraId="3FA0F759">
      <w:pPr>
        <w:spacing w:before="0" w:after="100"/>
        <w:jc w:val="both"/>
      </w:pPr>
      <w:r>
        <w:rPr>
          <w:rFonts w:ascii="Times New Roman" w:hAnsi="Times New Roman" w:eastAsia="宋体"/>
          <w:b w:val="0"/>
          <w:i w:val="0"/>
          <w:color w:val="000000"/>
          <w:sz w:val="21"/>
        </w:rPr>
        <w:t>提高绩效（3.11）的循环活动。</w:t>
      </w:r>
    </w:p>
    <w:p w14:paraId="0B3CC3D8">
      <w:pPr>
        <w:keepNext/>
        <w:spacing w:before="200" w:after="0"/>
        <w:jc w:val="left"/>
      </w:pPr>
      <w:r>
        <w:rPr>
          <w:rFonts w:ascii="Times New Roman" w:hAnsi="Times New Roman" w:eastAsia="宋体"/>
          <w:b/>
          <w:i w:val="0"/>
          <w:color w:val="000000"/>
          <w:sz w:val="22"/>
        </w:rPr>
        <w:t>3.13  effectiveness</w:t>
      </w:r>
    </w:p>
    <w:p w14:paraId="3C246E90">
      <w:pPr>
        <w:spacing w:before="0" w:after="80"/>
        <w:jc w:val="left"/>
      </w:pPr>
      <w:r>
        <w:rPr>
          <w:rFonts w:ascii="Times New Roman" w:hAnsi="Times New Roman" w:eastAsia="黑体"/>
          <w:b w:val="0"/>
          <w:i w:val="0"/>
          <w:color w:val="000000"/>
          <w:sz w:val="22"/>
        </w:rPr>
        <w:t>3.13  有效性</w:t>
      </w:r>
    </w:p>
    <w:p w14:paraId="7E7465DB">
      <w:pPr>
        <w:keepNext/>
        <w:spacing w:before="60" w:after="0"/>
        <w:jc w:val="both"/>
      </w:pPr>
      <w:r>
        <w:rPr>
          <w:rFonts w:ascii="Times New Roman" w:hAnsi="Times New Roman" w:eastAsia="宋体"/>
          <w:b w:val="0"/>
          <w:i w:val="0"/>
          <w:color w:val="000000"/>
          <w:sz w:val="21"/>
        </w:rPr>
        <w:t>extent to which planned activities are realized and planned results are achieved</w:t>
      </w:r>
    </w:p>
    <w:p w14:paraId="06021CB5">
      <w:pPr>
        <w:spacing w:before="0" w:after="100"/>
        <w:jc w:val="both"/>
      </w:pPr>
      <w:r>
        <w:rPr>
          <w:rFonts w:ascii="Times New Roman" w:hAnsi="Times New Roman" w:eastAsia="宋体"/>
          <w:b w:val="0"/>
          <w:i w:val="0"/>
          <w:color w:val="000000"/>
          <w:sz w:val="21"/>
        </w:rPr>
        <w:t>完成策划的活动并取得策划结果的程度。</w:t>
      </w:r>
    </w:p>
    <w:p w14:paraId="3544D85B">
      <w:pPr>
        <w:keepNext/>
        <w:spacing w:before="200" w:after="0"/>
        <w:jc w:val="left"/>
      </w:pPr>
      <w:r>
        <w:rPr>
          <w:rFonts w:ascii="Times New Roman" w:hAnsi="Times New Roman" w:eastAsia="宋体"/>
          <w:b/>
          <w:i w:val="0"/>
          <w:color w:val="000000"/>
          <w:sz w:val="22"/>
        </w:rPr>
        <w:t>3.14  requirement</w:t>
      </w:r>
    </w:p>
    <w:p w14:paraId="32A12D2C">
      <w:pPr>
        <w:spacing w:before="0" w:after="80"/>
        <w:jc w:val="left"/>
      </w:pPr>
      <w:r>
        <w:rPr>
          <w:rFonts w:ascii="Times New Roman" w:hAnsi="Times New Roman" w:eastAsia="黑体"/>
          <w:b w:val="0"/>
          <w:i w:val="0"/>
          <w:color w:val="000000"/>
          <w:sz w:val="22"/>
        </w:rPr>
        <w:t>3.14  要求</w:t>
      </w:r>
    </w:p>
    <w:p w14:paraId="7081FDC1">
      <w:pPr>
        <w:keepNext/>
        <w:spacing w:before="60" w:after="0"/>
        <w:jc w:val="both"/>
      </w:pPr>
      <w:r>
        <w:rPr>
          <w:rFonts w:ascii="Times New Roman" w:hAnsi="Times New Roman" w:eastAsia="宋体"/>
          <w:b w:val="0"/>
          <w:i w:val="0"/>
          <w:color w:val="000000"/>
          <w:sz w:val="21"/>
        </w:rPr>
        <w:t>need or expectation that is stated, generally implied or obligatory</w:t>
      </w:r>
    </w:p>
    <w:p w14:paraId="43E5F27F">
      <w:pPr>
        <w:spacing w:before="0" w:after="100"/>
        <w:jc w:val="both"/>
      </w:pPr>
      <w:r>
        <w:rPr>
          <w:rFonts w:ascii="Times New Roman" w:hAnsi="Times New Roman" w:eastAsia="宋体"/>
          <w:b w:val="0"/>
          <w:i w:val="0"/>
          <w:color w:val="000000"/>
          <w:sz w:val="21"/>
        </w:rPr>
        <w:t>明示的、通常隐含的或必须履行的需求或期望。</w:t>
      </w:r>
    </w:p>
    <w:p w14:paraId="583B0D77">
      <w:pPr>
        <w:keepNext/>
        <w:spacing w:before="20" w:after="0"/>
        <w:ind w:left="227"/>
        <w:jc w:val="both"/>
      </w:pPr>
      <w:r>
        <w:rPr>
          <w:rFonts w:ascii="Times New Roman" w:hAnsi="Times New Roman" w:eastAsia="宋体"/>
          <w:b w:val="0"/>
          <w:i/>
          <w:color w:val="000000"/>
          <w:sz w:val="20"/>
        </w:rPr>
        <w:t>NOTE 1 to entry — “Generally implied” means that it is custom or common practice for the organization (3.1) and interested parties (3.2) that the need or expectation under consideration is implied.</w:t>
      </w:r>
    </w:p>
    <w:p w14:paraId="156EE8FC">
      <w:pPr>
        <w:spacing w:before="0" w:after="100"/>
        <w:ind w:left="227"/>
        <w:jc w:val="both"/>
      </w:pPr>
      <w:r>
        <w:rPr>
          <w:rFonts w:ascii="Times New Roman" w:hAnsi="Times New Roman" w:eastAsia="宋体"/>
          <w:b w:val="0"/>
          <w:i w:val="0"/>
          <w:color w:val="000000"/>
          <w:sz w:val="20"/>
        </w:rPr>
        <w:t>注1：“通常隐含”是指组织（3.1）和相关方（3.2）的惯例或一般做法，所考虑的需求或期望是不言而喻的。</w:t>
      </w:r>
    </w:p>
    <w:p w14:paraId="757CE4DD">
      <w:pPr>
        <w:keepNext/>
        <w:spacing w:before="20" w:after="0"/>
        <w:ind w:left="227"/>
        <w:jc w:val="both"/>
      </w:pPr>
      <w:r>
        <w:rPr>
          <w:rFonts w:ascii="Times New Roman" w:hAnsi="Times New Roman" w:eastAsia="宋体"/>
          <w:b w:val="0"/>
          <w:i/>
          <w:color w:val="000000"/>
          <w:sz w:val="20"/>
        </w:rPr>
        <w:t>NOTE 2 to entry — A specified requirement is one that is stated, e.g. in documented information (3.10).</w:t>
      </w:r>
    </w:p>
    <w:p w14:paraId="7E41A5D2">
      <w:pPr>
        <w:spacing w:before="0" w:after="100"/>
        <w:ind w:left="227"/>
        <w:jc w:val="both"/>
      </w:pPr>
      <w:r>
        <w:rPr>
          <w:rFonts w:ascii="Times New Roman" w:hAnsi="Times New Roman" w:eastAsia="宋体"/>
          <w:b w:val="0"/>
          <w:i w:val="0"/>
          <w:color w:val="000000"/>
          <w:sz w:val="20"/>
        </w:rPr>
        <w:t>注2：规定要求是经明示的要求，如成文信息（3.10）中所阐明的要求。</w:t>
      </w:r>
    </w:p>
    <w:p w14:paraId="6758D1F8">
      <w:pPr>
        <w:keepNext/>
        <w:spacing w:before="20" w:after="0"/>
        <w:ind w:left="227"/>
        <w:jc w:val="both"/>
      </w:pPr>
      <w:r>
        <w:rPr>
          <w:rFonts w:ascii="Times New Roman" w:hAnsi="Times New Roman" w:eastAsia="宋体"/>
          <w:b w:val="0"/>
          <w:i/>
          <w:color w:val="000000"/>
          <w:sz w:val="20"/>
        </w:rPr>
        <w:t>NOTE 3 to entry — A qualifier can be used to denote a specific type of requirement, e.g. product requirement, service requirement, quality management requirement, customer requirement, quality requirement.</w:t>
      </w:r>
    </w:p>
    <w:p w14:paraId="7B0DFCB9">
      <w:pPr>
        <w:spacing w:before="0" w:after="100"/>
        <w:ind w:left="227"/>
        <w:jc w:val="both"/>
      </w:pPr>
      <w:r>
        <w:rPr>
          <w:rFonts w:ascii="Times New Roman" w:hAnsi="Times New Roman" w:eastAsia="宋体"/>
          <w:b w:val="0"/>
          <w:i w:val="0"/>
          <w:color w:val="000000"/>
          <w:sz w:val="20"/>
        </w:rPr>
        <w:t>注3：可用限定词表示特定类型的要求，如产品要求、服务要求、质量管理要求、顾客要求、质量要求。</w:t>
      </w:r>
    </w:p>
    <w:p w14:paraId="158271E9">
      <w:pPr>
        <w:keepNext/>
        <w:spacing w:before="20" w:after="0"/>
        <w:ind w:left="227"/>
        <w:jc w:val="both"/>
      </w:pPr>
      <w:r>
        <w:rPr>
          <w:rFonts w:ascii="Times New Roman" w:hAnsi="Times New Roman" w:eastAsia="宋体"/>
          <w:b w:val="0"/>
          <w:i/>
          <w:color w:val="000000"/>
          <w:sz w:val="20"/>
        </w:rPr>
        <w:t>NOTE 4 to entry — Requirements can be generated by different interested parties or by the organization itself.</w:t>
      </w:r>
    </w:p>
    <w:p w14:paraId="4C0CA67E">
      <w:pPr>
        <w:spacing w:before="0" w:after="100"/>
        <w:ind w:left="227"/>
        <w:jc w:val="both"/>
      </w:pPr>
      <w:r>
        <w:rPr>
          <w:rFonts w:ascii="Times New Roman" w:hAnsi="Times New Roman" w:eastAsia="宋体"/>
          <w:b w:val="0"/>
          <w:i w:val="0"/>
          <w:color w:val="000000"/>
          <w:sz w:val="20"/>
        </w:rPr>
        <w:t>注4：要求可由不同的相关方或组织自身提出。</w:t>
      </w:r>
    </w:p>
    <w:p w14:paraId="6E7AE1A5">
      <w:pPr>
        <w:keepNext/>
        <w:spacing w:before="20" w:after="0"/>
        <w:ind w:left="227"/>
        <w:jc w:val="both"/>
      </w:pPr>
      <w:r>
        <w:rPr>
          <w:rFonts w:ascii="Times New Roman" w:hAnsi="Times New Roman" w:eastAsia="宋体"/>
          <w:b w:val="0"/>
          <w:i/>
          <w:color w:val="000000"/>
          <w:sz w:val="20"/>
        </w:rPr>
        <w:t>NOTE 5 to entry — It can be necessary for achieving high customer satisfaction to fulfil an expectation of a customer even if it is neither stated nor generally implied or obligatory.</w:t>
      </w:r>
    </w:p>
    <w:p w14:paraId="626ED928">
      <w:pPr>
        <w:spacing w:before="0" w:after="100"/>
        <w:ind w:left="227"/>
        <w:jc w:val="both"/>
      </w:pPr>
      <w:r>
        <w:rPr>
          <w:rFonts w:ascii="Times New Roman" w:hAnsi="Times New Roman" w:eastAsia="宋体"/>
          <w:b w:val="0"/>
          <w:i w:val="0"/>
          <w:color w:val="000000"/>
          <w:sz w:val="20"/>
        </w:rPr>
        <w:t>注5：即使顾客的期望既未明示、也非通常隐含或必须履行，为达到较高的顾客满意，也可能有必要予以满足。</w:t>
      </w:r>
    </w:p>
    <w:p w14:paraId="6F372D7E">
      <w:pPr>
        <w:keepNext/>
        <w:spacing w:before="200" w:after="0"/>
        <w:jc w:val="left"/>
      </w:pPr>
      <w:r>
        <w:rPr>
          <w:rFonts w:ascii="Times New Roman" w:hAnsi="Times New Roman" w:eastAsia="宋体"/>
          <w:b/>
          <w:i w:val="0"/>
          <w:color w:val="000000"/>
          <w:sz w:val="22"/>
        </w:rPr>
        <w:t>3.15  conformity</w:t>
      </w:r>
    </w:p>
    <w:p w14:paraId="6D856606">
      <w:pPr>
        <w:spacing w:before="0" w:after="80"/>
        <w:jc w:val="left"/>
      </w:pPr>
      <w:r>
        <w:rPr>
          <w:rFonts w:ascii="Times New Roman" w:hAnsi="Times New Roman" w:eastAsia="黑体"/>
          <w:b w:val="0"/>
          <w:i w:val="0"/>
          <w:color w:val="000000"/>
          <w:sz w:val="22"/>
        </w:rPr>
        <w:t>3.15  合格（符合）</w:t>
      </w:r>
    </w:p>
    <w:p w14:paraId="4E3C99BC">
      <w:pPr>
        <w:keepNext/>
        <w:spacing w:before="60" w:after="0"/>
        <w:jc w:val="both"/>
      </w:pPr>
      <w:r>
        <w:rPr>
          <w:rFonts w:ascii="Times New Roman" w:hAnsi="Times New Roman" w:eastAsia="宋体"/>
          <w:b w:val="0"/>
          <w:i w:val="0"/>
          <w:color w:val="000000"/>
          <w:sz w:val="21"/>
        </w:rPr>
        <w:t>fulfilment of a requirement (3.14)</w:t>
      </w:r>
    </w:p>
    <w:p w14:paraId="502163BF">
      <w:pPr>
        <w:spacing w:before="0" w:after="100"/>
        <w:jc w:val="both"/>
      </w:pPr>
      <w:r>
        <w:rPr>
          <w:rFonts w:ascii="Times New Roman" w:hAnsi="Times New Roman" w:eastAsia="宋体"/>
          <w:b w:val="0"/>
          <w:i w:val="0"/>
          <w:color w:val="000000"/>
          <w:sz w:val="21"/>
        </w:rPr>
        <w:t>满足要求（3.14）。</w:t>
      </w:r>
    </w:p>
    <w:p w14:paraId="1AA206D2">
      <w:pPr>
        <w:keepNext/>
        <w:spacing w:before="20" w:after="0"/>
        <w:ind w:left="227"/>
        <w:jc w:val="both"/>
      </w:pPr>
      <w:r>
        <w:rPr>
          <w:rFonts w:ascii="Times New Roman" w:hAnsi="Times New Roman" w:eastAsia="宋体"/>
          <w:b w:val="0"/>
          <w:i/>
          <w:color w:val="000000"/>
          <w:sz w:val="20"/>
        </w:rPr>
        <w:t>NOTE 1 to entry — The term “conformance” is synonymous but deprecated.</w:t>
      </w:r>
    </w:p>
    <w:p w14:paraId="24C60248">
      <w:pPr>
        <w:spacing w:before="0" w:after="100"/>
        <w:ind w:left="227"/>
        <w:jc w:val="both"/>
      </w:pPr>
      <w:r>
        <w:rPr>
          <w:rFonts w:ascii="Times New Roman" w:hAnsi="Times New Roman" w:eastAsia="宋体"/>
          <w:b w:val="0"/>
          <w:i w:val="0"/>
          <w:color w:val="000000"/>
          <w:sz w:val="20"/>
        </w:rPr>
        <w:t>注1：术语“conformance”与其含义相同，但不推荐使用。</w:t>
      </w:r>
    </w:p>
    <w:p w14:paraId="5F749475">
      <w:pPr>
        <w:keepNext/>
        <w:spacing w:before="200" w:after="0"/>
        <w:jc w:val="left"/>
      </w:pPr>
      <w:r>
        <w:rPr>
          <w:rFonts w:ascii="Times New Roman" w:hAnsi="Times New Roman" w:eastAsia="宋体"/>
          <w:b/>
          <w:i w:val="0"/>
          <w:color w:val="000000"/>
          <w:sz w:val="22"/>
        </w:rPr>
        <w:t>3.16  nonconformity</w:t>
      </w:r>
    </w:p>
    <w:p w14:paraId="32C6AB9B">
      <w:pPr>
        <w:spacing w:before="0" w:after="80"/>
        <w:jc w:val="left"/>
      </w:pPr>
      <w:r>
        <w:rPr>
          <w:rFonts w:ascii="Times New Roman" w:hAnsi="Times New Roman" w:eastAsia="黑体"/>
          <w:b w:val="0"/>
          <w:i w:val="0"/>
          <w:color w:val="000000"/>
          <w:sz w:val="22"/>
        </w:rPr>
        <w:t>3.16  不合格（不符合）</w:t>
      </w:r>
    </w:p>
    <w:p w14:paraId="34ADD61A">
      <w:pPr>
        <w:keepNext/>
        <w:spacing w:before="60" w:after="0"/>
        <w:jc w:val="both"/>
      </w:pPr>
      <w:r>
        <w:rPr>
          <w:rFonts w:ascii="Times New Roman" w:hAnsi="Times New Roman" w:eastAsia="宋体"/>
          <w:b w:val="0"/>
          <w:i w:val="0"/>
          <w:color w:val="000000"/>
          <w:sz w:val="21"/>
        </w:rPr>
        <w:t>non-fulfilment of a requirement (3.14)</w:t>
      </w:r>
    </w:p>
    <w:p w14:paraId="796976BA">
      <w:pPr>
        <w:spacing w:before="0" w:after="100"/>
        <w:jc w:val="both"/>
      </w:pPr>
      <w:r>
        <w:rPr>
          <w:rFonts w:ascii="Times New Roman" w:hAnsi="Times New Roman" w:eastAsia="宋体"/>
          <w:b w:val="0"/>
          <w:i w:val="0"/>
          <w:color w:val="000000"/>
          <w:sz w:val="21"/>
        </w:rPr>
        <w:t>未满足要求（3.14）。</w:t>
      </w:r>
    </w:p>
    <w:p w14:paraId="68368B84">
      <w:pPr>
        <w:keepNext/>
        <w:spacing w:before="200" w:after="0"/>
        <w:jc w:val="left"/>
      </w:pPr>
      <w:r>
        <w:rPr>
          <w:rFonts w:ascii="Times New Roman" w:hAnsi="Times New Roman" w:eastAsia="宋体"/>
          <w:b/>
          <w:i w:val="0"/>
          <w:color w:val="000000"/>
          <w:sz w:val="22"/>
        </w:rPr>
        <w:t>3.17  corrective action</w:t>
      </w:r>
    </w:p>
    <w:p w14:paraId="7812C38C">
      <w:pPr>
        <w:spacing w:before="0" w:after="80"/>
        <w:jc w:val="left"/>
      </w:pPr>
      <w:r>
        <w:rPr>
          <w:rFonts w:ascii="Times New Roman" w:hAnsi="Times New Roman" w:eastAsia="黑体"/>
          <w:b w:val="0"/>
          <w:i w:val="0"/>
          <w:color w:val="000000"/>
          <w:sz w:val="22"/>
        </w:rPr>
        <w:t>3.17  纠正措施</w:t>
      </w:r>
    </w:p>
    <w:p w14:paraId="04F13835">
      <w:pPr>
        <w:keepNext/>
        <w:spacing w:before="60" w:after="0"/>
        <w:jc w:val="both"/>
      </w:pPr>
      <w:r>
        <w:rPr>
          <w:rFonts w:ascii="Times New Roman" w:hAnsi="Times New Roman" w:eastAsia="宋体"/>
          <w:b w:val="0"/>
          <w:i w:val="0"/>
          <w:color w:val="000000"/>
          <w:sz w:val="21"/>
        </w:rPr>
        <w:t>action to eliminate the cause(s) of a nonconformity (3.16) and to prevent recurrence</w:t>
      </w:r>
    </w:p>
    <w:p w14:paraId="15591EA9">
      <w:pPr>
        <w:spacing w:before="0" w:after="100"/>
        <w:jc w:val="both"/>
      </w:pPr>
      <w:r>
        <w:rPr>
          <w:rFonts w:ascii="Times New Roman" w:hAnsi="Times New Roman" w:eastAsia="宋体"/>
          <w:b w:val="0"/>
          <w:i w:val="0"/>
          <w:color w:val="000000"/>
          <w:sz w:val="21"/>
        </w:rPr>
        <w:t>为消除不合格（3.16）的原因并防止再发生所采取的措施。</w:t>
      </w:r>
    </w:p>
    <w:p w14:paraId="15376A46">
      <w:pPr>
        <w:keepNext/>
        <w:spacing w:before="20" w:after="0"/>
        <w:ind w:left="227"/>
        <w:jc w:val="both"/>
      </w:pPr>
      <w:r>
        <w:rPr>
          <w:rFonts w:ascii="Times New Roman" w:hAnsi="Times New Roman" w:eastAsia="宋体"/>
          <w:b w:val="0"/>
          <w:i/>
          <w:color w:val="000000"/>
          <w:sz w:val="20"/>
        </w:rPr>
        <w:t>NOTE 1 to entry — Corrective action is taken to prevent recurrence whereas preventive action is taken to prevent occurrence.</w:t>
      </w:r>
    </w:p>
    <w:p w14:paraId="6CBDCDFD">
      <w:pPr>
        <w:spacing w:before="0" w:after="100"/>
        <w:ind w:left="227"/>
        <w:jc w:val="both"/>
      </w:pPr>
      <w:r>
        <w:rPr>
          <w:rFonts w:ascii="Times New Roman" w:hAnsi="Times New Roman" w:eastAsia="宋体"/>
          <w:b w:val="0"/>
          <w:i w:val="0"/>
          <w:color w:val="000000"/>
          <w:sz w:val="20"/>
        </w:rPr>
        <w:t>注1：采取纠正措施是为了防止再发生，而采取预防措施是为了防止发生。</w:t>
      </w:r>
    </w:p>
    <w:p w14:paraId="306B8D93">
      <w:pPr>
        <w:keepNext/>
        <w:spacing w:before="200" w:after="0"/>
        <w:jc w:val="left"/>
      </w:pPr>
      <w:r>
        <w:rPr>
          <w:rFonts w:ascii="Times New Roman" w:hAnsi="Times New Roman" w:eastAsia="宋体"/>
          <w:b/>
          <w:i w:val="0"/>
          <w:color w:val="000000"/>
          <w:sz w:val="22"/>
        </w:rPr>
        <w:t>3.18  audit</w:t>
      </w:r>
    </w:p>
    <w:p w14:paraId="311CBC3A">
      <w:pPr>
        <w:spacing w:before="0" w:after="80"/>
        <w:jc w:val="left"/>
      </w:pPr>
      <w:r>
        <w:rPr>
          <w:rFonts w:ascii="Times New Roman" w:hAnsi="Times New Roman" w:eastAsia="黑体"/>
          <w:b w:val="0"/>
          <w:i w:val="0"/>
          <w:color w:val="000000"/>
          <w:sz w:val="22"/>
        </w:rPr>
        <w:t>3.18  审核</w:t>
      </w:r>
    </w:p>
    <w:p w14:paraId="677FEEEB">
      <w:pPr>
        <w:keepNext/>
        <w:spacing w:before="60" w:after="0"/>
        <w:jc w:val="both"/>
      </w:pPr>
      <w:r>
        <w:rPr>
          <w:rFonts w:ascii="Times New Roman" w:hAnsi="Times New Roman" w:eastAsia="宋体"/>
          <w:b w:val="0"/>
          <w:i w:val="0"/>
          <w:color w:val="000000"/>
          <w:sz w:val="21"/>
        </w:rPr>
        <w:t>systematic and independent process (3.8) for obtaining evidence and evaluating it objectively to determine the extent to which the audit criteria are fulfilled</w:t>
      </w:r>
    </w:p>
    <w:p w14:paraId="1536BD0E">
      <w:pPr>
        <w:spacing w:before="0" w:after="100"/>
        <w:jc w:val="both"/>
      </w:pPr>
      <w:r>
        <w:rPr>
          <w:rFonts w:ascii="Times New Roman" w:hAnsi="Times New Roman" w:eastAsia="宋体"/>
          <w:b w:val="0"/>
          <w:i w:val="0"/>
          <w:color w:val="000000"/>
          <w:sz w:val="21"/>
        </w:rPr>
        <w:t>为获得证据并对其进行客观评价，以确定满足审核准则的程度所进行的系统的、独立的过程（3.8）。</w:t>
      </w:r>
    </w:p>
    <w:p w14:paraId="2EAE77F9">
      <w:pPr>
        <w:keepNext/>
        <w:spacing w:before="20" w:after="0"/>
        <w:ind w:left="227"/>
        <w:jc w:val="both"/>
      </w:pPr>
      <w:r>
        <w:rPr>
          <w:rFonts w:ascii="Times New Roman" w:hAnsi="Times New Roman" w:eastAsia="宋体"/>
          <w:b w:val="0"/>
          <w:i/>
          <w:color w:val="000000"/>
          <w:sz w:val="20"/>
        </w:rPr>
        <w:t>NOTE 1 to entry — An audit can be an internal audit (first party) or an external audit (second party or third party), and it can be a combined audit (combining two or more disciplines).</w:t>
      </w:r>
    </w:p>
    <w:p w14:paraId="1C7EB6AE">
      <w:pPr>
        <w:spacing w:before="0" w:after="100"/>
        <w:ind w:left="227"/>
        <w:jc w:val="both"/>
      </w:pPr>
      <w:r>
        <w:rPr>
          <w:rFonts w:ascii="Times New Roman" w:hAnsi="Times New Roman" w:eastAsia="宋体"/>
          <w:b w:val="0"/>
          <w:i w:val="0"/>
          <w:color w:val="000000"/>
          <w:sz w:val="20"/>
        </w:rPr>
        <w:t>注1：审核可以是内部审核（第一方）或外部审核（第二方或第三方），也可以是结合审核（结合两个或多个领域）。</w:t>
      </w:r>
    </w:p>
    <w:p w14:paraId="01840D96">
      <w:pPr>
        <w:keepNext/>
        <w:spacing w:before="20" w:after="0"/>
        <w:ind w:left="227"/>
        <w:jc w:val="both"/>
      </w:pPr>
      <w:r>
        <w:rPr>
          <w:rFonts w:ascii="Times New Roman" w:hAnsi="Times New Roman" w:eastAsia="宋体"/>
          <w:b w:val="0"/>
          <w:i/>
          <w:color w:val="000000"/>
          <w:sz w:val="20"/>
        </w:rPr>
        <w:t>NOTE 2 to entry — An internal audit is conducted by the organization (3.1) itself, or by an external party on its behalf.</w:t>
      </w:r>
    </w:p>
    <w:p w14:paraId="551FB877">
      <w:pPr>
        <w:spacing w:before="0" w:after="100"/>
        <w:ind w:left="227"/>
        <w:jc w:val="both"/>
      </w:pPr>
      <w:r>
        <w:rPr>
          <w:rFonts w:ascii="Times New Roman" w:hAnsi="Times New Roman" w:eastAsia="宋体"/>
          <w:b w:val="0"/>
          <w:i w:val="0"/>
          <w:color w:val="000000"/>
          <w:sz w:val="20"/>
        </w:rPr>
        <w:t>注2：内部审核由组织（3.1）自身实施，或由外部机构以其名义实施。</w:t>
      </w:r>
    </w:p>
    <w:p w14:paraId="436602D2">
      <w:pPr>
        <w:keepNext/>
        <w:spacing w:before="20" w:after="0"/>
        <w:ind w:left="227"/>
        <w:jc w:val="both"/>
      </w:pPr>
      <w:r>
        <w:rPr>
          <w:rFonts w:ascii="Times New Roman" w:hAnsi="Times New Roman" w:eastAsia="宋体"/>
          <w:b w:val="0"/>
          <w:i/>
          <w:color w:val="000000"/>
          <w:sz w:val="20"/>
        </w:rPr>
        <w:t>NOTE 3 to entry — “Audit evidence” and “audit criteria” are defined in ISO 19011.</w:t>
      </w:r>
    </w:p>
    <w:p w14:paraId="07B7DED4">
      <w:pPr>
        <w:spacing w:before="0" w:after="100"/>
        <w:ind w:left="227"/>
        <w:jc w:val="both"/>
      </w:pPr>
      <w:r>
        <w:rPr>
          <w:rFonts w:ascii="Times New Roman" w:hAnsi="Times New Roman" w:eastAsia="宋体"/>
          <w:b w:val="0"/>
          <w:i w:val="0"/>
          <w:color w:val="000000"/>
          <w:sz w:val="20"/>
        </w:rPr>
        <w:t>注3：“审核证据”和“审核准则”的定义见ISO 19011。</w:t>
      </w:r>
    </w:p>
    <w:p w14:paraId="0ED50F9C">
      <w:pPr>
        <w:keepNext/>
        <w:spacing w:before="20" w:after="0"/>
        <w:ind w:left="227"/>
        <w:jc w:val="both"/>
      </w:pPr>
      <w:r>
        <w:rPr>
          <w:rFonts w:ascii="Times New Roman" w:hAnsi="Times New Roman" w:eastAsia="宋体"/>
          <w:b w:val="0"/>
          <w:i/>
          <w:color w:val="000000"/>
          <w:sz w:val="20"/>
        </w:rPr>
        <w:t>NOTE 4 to entry — The fundamental elements of an audit include the determination of the conformity (3.15) of an object according to a procedure carried out by people selected to ensure impartiality and objectivity of the audit process.</w:t>
      </w:r>
    </w:p>
    <w:p w14:paraId="6511F30F">
      <w:pPr>
        <w:spacing w:before="0" w:after="100"/>
        <w:ind w:left="227"/>
        <w:jc w:val="both"/>
      </w:pPr>
      <w:r>
        <w:rPr>
          <w:rFonts w:ascii="Times New Roman" w:hAnsi="Times New Roman" w:eastAsia="宋体"/>
          <w:b w:val="0"/>
          <w:i w:val="0"/>
          <w:color w:val="000000"/>
          <w:sz w:val="20"/>
        </w:rPr>
        <w:t>注4：审核的基本要素包括：按照程序，由为确保审核过程公正性和客观性而选定的人员，对某一对象的合格（3.15）情况予以确定。</w:t>
      </w:r>
    </w:p>
    <w:p w14:paraId="28CB8BD4">
      <w:pPr>
        <w:keepNext/>
        <w:spacing w:before="20" w:after="0"/>
        <w:ind w:left="227"/>
        <w:jc w:val="both"/>
      </w:pPr>
      <w:r>
        <w:rPr>
          <w:rFonts w:ascii="Times New Roman" w:hAnsi="Times New Roman" w:eastAsia="宋体"/>
          <w:b w:val="0"/>
          <w:i/>
          <w:color w:val="000000"/>
          <w:sz w:val="20"/>
        </w:rPr>
        <w:t>NOTE 5 to entry — Internal audits are conducted for management review and other internal purposes and can form the basis for an organization's declaration of conformity. Independence can be demonstrated by the freedom from responsibility for the activity being audited.</w:t>
      </w:r>
    </w:p>
    <w:p w14:paraId="440996C3">
      <w:pPr>
        <w:spacing w:before="0" w:after="100"/>
        <w:ind w:left="227"/>
        <w:jc w:val="both"/>
      </w:pPr>
      <w:r>
        <w:rPr>
          <w:rFonts w:ascii="Times New Roman" w:hAnsi="Times New Roman" w:eastAsia="宋体"/>
          <w:b w:val="0"/>
          <w:i w:val="0"/>
          <w:color w:val="000000"/>
          <w:sz w:val="20"/>
        </w:rPr>
        <w:t>注5：内部审核用于管理评审和其他内部目的，并可作为组织自我合格声明的基础。独立性可通过不承担被审核活动职责的方式来证实。</w:t>
      </w:r>
    </w:p>
    <w:p w14:paraId="51E4A7AB">
      <w:pPr>
        <w:keepNext/>
        <w:spacing w:before="20" w:after="0"/>
        <w:ind w:left="227"/>
        <w:jc w:val="both"/>
      </w:pPr>
      <w:r>
        <w:rPr>
          <w:rFonts w:ascii="Times New Roman" w:hAnsi="Times New Roman" w:eastAsia="宋体"/>
          <w:b w:val="0"/>
          <w:i/>
          <w:color w:val="000000"/>
          <w:sz w:val="20"/>
        </w:rPr>
        <w:t>NOTE 6 to entry — Second-party audits are conducted by parties having an interest in the organization, such as customers, or by other persons on their behalf. Third-party audits are conducted by external, independent auditing organizations such as those providing certification or registration of conformity or governmental agencies.</w:t>
      </w:r>
    </w:p>
    <w:p w14:paraId="7FC57DFD">
      <w:pPr>
        <w:spacing w:before="0" w:after="100"/>
        <w:ind w:left="227"/>
        <w:jc w:val="both"/>
      </w:pPr>
      <w:r>
        <w:rPr>
          <w:rFonts w:ascii="Times New Roman" w:hAnsi="Times New Roman" w:eastAsia="宋体"/>
          <w:b w:val="0"/>
          <w:i w:val="0"/>
          <w:color w:val="000000"/>
          <w:sz w:val="20"/>
        </w:rPr>
        <w:t>注6：第二方审核由对组织有兴趣的相关方（如顾客）或以相关方名义的其他人员实施。第三方审核由外部的、独立的审核机构（如提供合格认证或注册的机构或政府机构）实施。</w:t>
      </w:r>
    </w:p>
    <w:p w14:paraId="7D62BB69">
      <w:pPr>
        <w:keepNext/>
        <w:spacing w:before="20" w:after="0"/>
        <w:ind w:left="227"/>
        <w:jc w:val="both"/>
      </w:pPr>
      <w:r>
        <w:rPr>
          <w:rFonts w:ascii="Times New Roman" w:hAnsi="Times New Roman" w:eastAsia="宋体"/>
          <w:b w:val="0"/>
          <w:i/>
          <w:color w:val="000000"/>
          <w:sz w:val="20"/>
        </w:rPr>
        <w:t>NOTE 7 to entry — An audit can also be a joint audit conducted by two or more auditing organizations.</w:t>
      </w:r>
    </w:p>
    <w:p w14:paraId="3C5B3F86">
      <w:pPr>
        <w:spacing w:before="0" w:after="100"/>
        <w:ind w:left="227"/>
        <w:jc w:val="both"/>
      </w:pPr>
      <w:r>
        <w:rPr>
          <w:rFonts w:ascii="Times New Roman" w:hAnsi="Times New Roman" w:eastAsia="宋体"/>
          <w:b w:val="0"/>
          <w:i w:val="0"/>
          <w:color w:val="000000"/>
          <w:sz w:val="20"/>
        </w:rPr>
        <w:t>注7：审核也可以是由两个或两个以上审核机构联合实施的联合审核。</w:t>
      </w:r>
    </w:p>
    <w:p w14:paraId="6AD4C3E2">
      <w:pPr>
        <w:keepNext/>
        <w:spacing w:before="200" w:after="0"/>
        <w:jc w:val="left"/>
      </w:pPr>
      <w:r>
        <w:rPr>
          <w:rFonts w:ascii="Times New Roman" w:hAnsi="Times New Roman" w:eastAsia="宋体"/>
          <w:b/>
          <w:i w:val="0"/>
          <w:color w:val="000000"/>
          <w:sz w:val="22"/>
        </w:rPr>
        <w:t>3.19  measurement</w:t>
      </w:r>
    </w:p>
    <w:p w14:paraId="41BDD0B4">
      <w:pPr>
        <w:spacing w:before="0" w:after="80"/>
        <w:jc w:val="left"/>
      </w:pPr>
      <w:r>
        <w:rPr>
          <w:rFonts w:ascii="Times New Roman" w:hAnsi="Times New Roman" w:eastAsia="黑体"/>
          <w:b w:val="0"/>
          <w:i w:val="0"/>
          <w:color w:val="000000"/>
          <w:sz w:val="22"/>
        </w:rPr>
        <w:t>3.19  测量</w:t>
      </w:r>
    </w:p>
    <w:p w14:paraId="70CBBEC3">
      <w:pPr>
        <w:keepNext/>
        <w:spacing w:before="60" w:after="0"/>
        <w:jc w:val="both"/>
      </w:pPr>
      <w:r>
        <w:rPr>
          <w:rFonts w:ascii="Times New Roman" w:hAnsi="Times New Roman" w:eastAsia="宋体"/>
          <w:b w:val="0"/>
          <w:i w:val="0"/>
          <w:color w:val="000000"/>
          <w:sz w:val="21"/>
        </w:rPr>
        <w:t>process (3.8) to determine a value</w:t>
      </w:r>
    </w:p>
    <w:p w14:paraId="10B245EC">
      <w:pPr>
        <w:spacing w:before="0" w:after="100"/>
        <w:jc w:val="both"/>
      </w:pPr>
      <w:r>
        <w:rPr>
          <w:rFonts w:ascii="Times New Roman" w:hAnsi="Times New Roman" w:eastAsia="宋体"/>
          <w:b w:val="0"/>
          <w:i w:val="0"/>
          <w:color w:val="000000"/>
          <w:sz w:val="21"/>
        </w:rPr>
        <w:t>确定数值的过程（3.8）。</w:t>
      </w:r>
    </w:p>
    <w:p w14:paraId="1E6D8352">
      <w:pPr>
        <w:keepNext/>
        <w:spacing w:before="20" w:after="0"/>
        <w:ind w:left="227"/>
        <w:jc w:val="both"/>
      </w:pPr>
      <w:r>
        <w:rPr>
          <w:rFonts w:ascii="Times New Roman" w:hAnsi="Times New Roman" w:eastAsia="宋体"/>
          <w:b w:val="0"/>
          <w:i/>
          <w:color w:val="000000"/>
          <w:sz w:val="20"/>
        </w:rPr>
        <w:t>NOTE 1 to entry — According to ISO 3534-2:2006, 3.2.1, the value determined is generally the value of a quantity.</w:t>
      </w:r>
    </w:p>
    <w:p w14:paraId="3C8BE1C9">
      <w:pPr>
        <w:spacing w:before="0" w:after="100"/>
        <w:ind w:left="227"/>
        <w:jc w:val="both"/>
      </w:pPr>
      <w:r>
        <w:rPr>
          <w:rFonts w:ascii="Times New Roman" w:hAnsi="Times New Roman" w:eastAsia="宋体"/>
          <w:b w:val="0"/>
          <w:i w:val="0"/>
          <w:color w:val="000000"/>
          <w:sz w:val="20"/>
        </w:rPr>
        <w:t>注1：根据ISO 3534-2:2006中3.2.1，所确定的数值通常为量值。</w:t>
      </w:r>
    </w:p>
    <w:p w14:paraId="264BD1A1">
      <w:pPr>
        <w:keepNext/>
        <w:spacing w:before="200" w:after="0"/>
        <w:jc w:val="left"/>
      </w:pPr>
      <w:r>
        <w:rPr>
          <w:rFonts w:ascii="Times New Roman" w:hAnsi="Times New Roman" w:eastAsia="宋体"/>
          <w:b/>
          <w:i w:val="0"/>
          <w:color w:val="000000"/>
          <w:sz w:val="22"/>
        </w:rPr>
        <w:t>3.20  monitoring</w:t>
      </w:r>
    </w:p>
    <w:p w14:paraId="500AF806">
      <w:pPr>
        <w:spacing w:before="0" w:after="80"/>
        <w:jc w:val="left"/>
      </w:pPr>
      <w:r>
        <w:rPr>
          <w:rFonts w:ascii="Times New Roman" w:hAnsi="Times New Roman" w:eastAsia="黑体"/>
          <w:b w:val="0"/>
          <w:i w:val="0"/>
          <w:color w:val="000000"/>
          <w:sz w:val="22"/>
        </w:rPr>
        <w:t>3.20  监视</w:t>
      </w:r>
    </w:p>
    <w:p w14:paraId="4D98B1DD">
      <w:pPr>
        <w:keepNext/>
        <w:spacing w:before="60" w:after="0"/>
        <w:jc w:val="both"/>
      </w:pPr>
      <w:r>
        <w:rPr>
          <w:rFonts w:ascii="Times New Roman" w:hAnsi="Times New Roman" w:eastAsia="宋体"/>
          <w:b w:val="0"/>
          <w:i w:val="0"/>
          <w:color w:val="000000"/>
          <w:sz w:val="21"/>
        </w:rPr>
        <w:t>determining the status of a system, a process (3.8) or an activity</w:t>
      </w:r>
    </w:p>
    <w:p w14:paraId="4FE7B197">
      <w:pPr>
        <w:spacing w:before="0" w:after="100"/>
        <w:jc w:val="both"/>
      </w:pPr>
      <w:r>
        <w:rPr>
          <w:rFonts w:ascii="Times New Roman" w:hAnsi="Times New Roman" w:eastAsia="宋体"/>
          <w:b w:val="0"/>
          <w:i w:val="0"/>
          <w:color w:val="000000"/>
          <w:sz w:val="21"/>
        </w:rPr>
        <w:t>确定体系、过程（3.8）或活动的状态。</w:t>
      </w:r>
    </w:p>
    <w:p w14:paraId="528DB9AD">
      <w:pPr>
        <w:keepNext/>
        <w:spacing w:before="20" w:after="0"/>
        <w:ind w:left="227"/>
        <w:jc w:val="both"/>
      </w:pPr>
      <w:r>
        <w:rPr>
          <w:rFonts w:ascii="Times New Roman" w:hAnsi="Times New Roman" w:eastAsia="宋体"/>
          <w:b w:val="0"/>
          <w:i/>
          <w:color w:val="000000"/>
          <w:sz w:val="20"/>
        </w:rPr>
        <w:t>NOTE 1 to entry — To determine the status, there can be a need to check, supervise or critically observe.</w:t>
      </w:r>
    </w:p>
    <w:p w14:paraId="0C01E9ED">
      <w:pPr>
        <w:spacing w:before="0" w:after="100"/>
        <w:ind w:left="227"/>
        <w:jc w:val="both"/>
      </w:pPr>
      <w:r>
        <w:rPr>
          <w:rFonts w:ascii="Times New Roman" w:hAnsi="Times New Roman" w:eastAsia="宋体"/>
          <w:b w:val="0"/>
          <w:i w:val="0"/>
          <w:color w:val="000000"/>
          <w:sz w:val="20"/>
        </w:rPr>
        <w:t>注1：为确定状态，可能需要检查、监督或密切观察。</w:t>
      </w:r>
    </w:p>
    <w:p w14:paraId="366233C1">
      <w:pPr>
        <w:keepNext/>
        <w:spacing w:before="20" w:after="0"/>
        <w:ind w:left="227"/>
        <w:jc w:val="both"/>
      </w:pPr>
      <w:r>
        <w:rPr>
          <w:rFonts w:ascii="Times New Roman" w:hAnsi="Times New Roman" w:eastAsia="宋体"/>
          <w:b w:val="0"/>
          <w:i/>
          <w:color w:val="000000"/>
          <w:sz w:val="20"/>
        </w:rPr>
        <w:t>NOTE 2 to entry — Monitoring can also determine the status of a product or a service.</w:t>
      </w:r>
    </w:p>
    <w:p w14:paraId="0FDEC3E2">
      <w:pPr>
        <w:spacing w:before="0" w:after="100"/>
        <w:ind w:left="227"/>
        <w:jc w:val="both"/>
      </w:pPr>
      <w:r>
        <w:rPr>
          <w:rFonts w:ascii="Times New Roman" w:hAnsi="Times New Roman" w:eastAsia="宋体"/>
          <w:b w:val="0"/>
          <w:i w:val="0"/>
          <w:color w:val="000000"/>
          <w:sz w:val="20"/>
        </w:rPr>
        <w:t>注2：监视还可确定产品或服务的状态。</w:t>
      </w:r>
    </w:p>
    <w:p w14:paraId="6DF791A9">
      <w:pPr>
        <w:keepNext/>
        <w:spacing w:before="20" w:after="0"/>
        <w:ind w:left="227"/>
        <w:jc w:val="both"/>
      </w:pPr>
      <w:r>
        <w:rPr>
          <w:rFonts w:ascii="Times New Roman" w:hAnsi="Times New Roman" w:eastAsia="宋体"/>
          <w:b w:val="0"/>
          <w:i/>
          <w:color w:val="000000"/>
          <w:sz w:val="20"/>
        </w:rPr>
        <w:t>NOTE 3 to entry — Monitoring is generally a determination of the status of an object, carried out at different stages or at different times.</w:t>
      </w:r>
    </w:p>
    <w:p w14:paraId="4699F72D">
      <w:pPr>
        <w:spacing w:before="0" w:after="100"/>
        <w:ind w:left="227"/>
        <w:jc w:val="both"/>
      </w:pPr>
      <w:r>
        <w:rPr>
          <w:rFonts w:ascii="Times New Roman" w:hAnsi="Times New Roman" w:eastAsia="宋体"/>
          <w:b w:val="0"/>
          <w:i w:val="0"/>
          <w:color w:val="000000"/>
          <w:sz w:val="20"/>
        </w:rPr>
        <w:t>注3：监视通常是在不同阶段或不同时点对对象状态的确定。</w:t>
      </w:r>
    </w:p>
    <w:p w14:paraId="213EBD7B">
      <w:pPr>
        <w:keepNext/>
        <w:spacing w:before="320" w:after="0"/>
        <w:jc w:val="left"/>
      </w:pPr>
      <w:r>
        <w:rPr>
          <w:rFonts w:ascii="Times New Roman" w:hAnsi="Times New Roman" w:eastAsia="宋体"/>
          <w:b/>
          <w:i w:val="0"/>
          <w:color w:val="000000"/>
          <w:sz w:val="28"/>
        </w:rPr>
        <w:t>4  Context of the organization</w:t>
      </w:r>
    </w:p>
    <w:p w14:paraId="5912253A">
      <w:pPr>
        <w:pBdr>
          <w:bottom w:val="single" w:color="C01E2E" w:sz="8" w:space="2"/>
        </w:pBdr>
        <w:spacing w:before="0" w:after="100"/>
        <w:jc w:val="left"/>
      </w:pPr>
      <w:r>
        <w:rPr>
          <w:rFonts w:ascii="Times New Roman" w:hAnsi="Times New Roman" w:eastAsia="黑体"/>
          <w:b w:val="0"/>
          <w:i w:val="0"/>
          <w:color w:val="000000"/>
          <w:sz w:val="28"/>
        </w:rPr>
        <w:t>4  组织环境</w:t>
      </w:r>
    </w:p>
    <w:p w14:paraId="6EC249E6">
      <w:pPr>
        <w:keepNext/>
        <w:spacing w:before="240" w:after="0"/>
        <w:jc w:val="left"/>
      </w:pPr>
      <w:r>
        <w:rPr>
          <w:rFonts w:ascii="Times New Roman" w:hAnsi="Times New Roman" w:eastAsia="宋体"/>
          <w:b/>
          <w:i w:val="0"/>
          <w:color w:val="000000"/>
          <w:sz w:val="24"/>
        </w:rPr>
        <w:t>4.1  Understanding the organization and its context</w:t>
      </w:r>
    </w:p>
    <w:p w14:paraId="467F1712">
      <w:pPr>
        <w:spacing w:before="0" w:after="80"/>
        <w:jc w:val="left"/>
      </w:pPr>
      <w:r>
        <w:rPr>
          <w:rFonts w:ascii="Times New Roman" w:hAnsi="Times New Roman" w:eastAsia="黑体"/>
          <w:b w:val="0"/>
          <w:i w:val="0"/>
          <w:color w:val="000000"/>
          <w:sz w:val="24"/>
        </w:rPr>
        <w:t>4.1  理解组织及其环境</w:t>
      </w:r>
    </w:p>
    <w:p w14:paraId="06317E85">
      <w:pPr>
        <w:keepNext/>
        <w:spacing w:before="60" w:after="0"/>
        <w:jc w:val="both"/>
      </w:pPr>
      <w:r>
        <w:rPr>
          <w:rFonts w:ascii="Times New Roman" w:hAnsi="Times New Roman" w:eastAsia="宋体"/>
          <w:b w:val="0"/>
          <w:i w:val="0"/>
          <w:color w:val="000000"/>
          <w:sz w:val="21"/>
        </w:rPr>
        <w:t>The organization shall determine external and internal issues that are relevant to its purpose and its strategic direction and that affect its ability to achieve the intended result(s) of its quality management system.</w:t>
      </w:r>
    </w:p>
    <w:p w14:paraId="793651B5">
      <w:pPr>
        <w:spacing w:before="0" w:after="100"/>
        <w:jc w:val="both"/>
      </w:pPr>
      <w:r>
        <w:rPr>
          <w:rFonts w:ascii="Times New Roman" w:hAnsi="Times New Roman" w:eastAsia="宋体"/>
          <w:b w:val="0"/>
          <w:i w:val="0"/>
          <w:color w:val="000000"/>
          <w:sz w:val="21"/>
        </w:rPr>
        <w:t>组织应确定与其宗旨和战略方向相关、并影响其实现质量管理体系预期结果的能力的各种外部和内部因素。</w:t>
      </w:r>
    </w:p>
    <w:p w14:paraId="4C2DF7A8">
      <w:pPr>
        <w:keepNext/>
        <w:spacing w:before="60" w:after="0"/>
        <w:jc w:val="both"/>
      </w:pPr>
      <w:r>
        <w:rPr>
          <w:rFonts w:ascii="Times New Roman" w:hAnsi="Times New Roman" w:eastAsia="宋体"/>
          <w:b w:val="0"/>
          <w:i w:val="0"/>
          <w:color w:val="000000"/>
          <w:sz w:val="21"/>
        </w:rPr>
        <w:t>The organization shall determine whether climate change is a relevant issue.</w:t>
      </w:r>
    </w:p>
    <w:p w14:paraId="3197A094">
      <w:pPr>
        <w:spacing w:before="0" w:after="100"/>
        <w:jc w:val="both"/>
      </w:pPr>
      <w:r>
        <w:rPr>
          <w:rFonts w:ascii="Times New Roman" w:hAnsi="Times New Roman" w:eastAsia="宋体"/>
          <w:b w:val="0"/>
          <w:i w:val="0"/>
          <w:color w:val="000000"/>
          <w:sz w:val="21"/>
        </w:rPr>
        <w:t>组织应确定气候变化是否为相关因素。</w:t>
      </w:r>
    </w:p>
    <w:p w14:paraId="0A3EC348">
      <w:pPr>
        <w:keepNext/>
        <w:spacing w:before="60" w:after="0"/>
        <w:jc w:val="both"/>
      </w:pPr>
      <w:r>
        <w:rPr>
          <w:rFonts w:ascii="Times New Roman" w:hAnsi="Times New Roman" w:eastAsia="宋体"/>
          <w:b w:val="0"/>
          <w:i w:val="0"/>
          <w:color w:val="000000"/>
          <w:sz w:val="21"/>
        </w:rPr>
        <w:t>The organization shall monitor and review information about these external and internal issues.</w:t>
      </w:r>
    </w:p>
    <w:p w14:paraId="3F8954C4">
      <w:pPr>
        <w:spacing w:before="0" w:after="100"/>
        <w:jc w:val="both"/>
      </w:pPr>
      <w:r>
        <w:rPr>
          <w:rFonts w:ascii="Times New Roman" w:hAnsi="Times New Roman" w:eastAsia="宋体"/>
          <w:b w:val="0"/>
          <w:i w:val="0"/>
          <w:color w:val="000000"/>
          <w:sz w:val="21"/>
        </w:rPr>
        <w:t>组织应对这些外部和内部因素的相关信息进行监视和评审。</w:t>
      </w:r>
    </w:p>
    <w:p w14:paraId="4ECFF799">
      <w:pPr>
        <w:keepNext/>
        <w:spacing w:before="20" w:after="0"/>
        <w:ind w:left="227"/>
        <w:jc w:val="both"/>
      </w:pPr>
      <w:r>
        <w:rPr>
          <w:rFonts w:ascii="Times New Roman" w:hAnsi="Times New Roman" w:eastAsia="宋体"/>
          <w:b w:val="0"/>
          <w:i/>
          <w:color w:val="000000"/>
          <w:sz w:val="20"/>
        </w:rPr>
        <w:t>NOTE 1 — Issues can include positive and negative factors or conditions for consideration.</w:t>
      </w:r>
    </w:p>
    <w:p w14:paraId="0AE73005">
      <w:pPr>
        <w:spacing w:before="0" w:after="100"/>
        <w:ind w:left="227"/>
        <w:jc w:val="both"/>
      </w:pPr>
      <w:r>
        <w:rPr>
          <w:rFonts w:ascii="Times New Roman" w:hAnsi="Times New Roman" w:eastAsia="宋体"/>
          <w:b w:val="0"/>
          <w:i w:val="0"/>
          <w:color w:val="000000"/>
          <w:sz w:val="20"/>
        </w:rPr>
        <w:t>注1：这些因素可包括需要考虑的正面和负面的因素或条件。</w:t>
      </w:r>
    </w:p>
    <w:p w14:paraId="5443CB60">
      <w:pPr>
        <w:keepNext/>
        <w:spacing w:before="20" w:after="0"/>
        <w:ind w:left="227"/>
        <w:jc w:val="both"/>
      </w:pPr>
      <w:r>
        <w:rPr>
          <w:rFonts w:ascii="Times New Roman" w:hAnsi="Times New Roman" w:eastAsia="宋体"/>
          <w:b w:val="0"/>
          <w:i/>
          <w:color w:val="000000"/>
          <w:sz w:val="20"/>
        </w:rPr>
        <w:t>NOTE 2 — Understanding the external context can be facilitated by considering legal, technological, competitive, market, cultural, political, social, economic and environmental issues at the international, national, regional or local level.</w:t>
      </w:r>
    </w:p>
    <w:p w14:paraId="56852CDB">
      <w:pPr>
        <w:spacing w:before="0" w:after="100"/>
        <w:ind w:left="227"/>
        <w:jc w:val="both"/>
      </w:pPr>
      <w:r>
        <w:rPr>
          <w:rFonts w:ascii="Times New Roman" w:hAnsi="Times New Roman" w:eastAsia="宋体"/>
          <w:b w:val="0"/>
          <w:i w:val="0"/>
          <w:color w:val="000000"/>
          <w:sz w:val="20"/>
        </w:rPr>
        <w:t>注2：考虑来自国际、国家、地区或当地层面的法律法规、技术、竞争、市场、文化、政治、社会、经济以及环境等方面的因素，有助于理解外部环境。</w:t>
      </w:r>
    </w:p>
    <w:p w14:paraId="6F05560C">
      <w:pPr>
        <w:keepNext/>
        <w:spacing w:before="20" w:after="0"/>
        <w:ind w:left="227"/>
        <w:jc w:val="both"/>
      </w:pPr>
      <w:r>
        <w:rPr>
          <w:rFonts w:ascii="Times New Roman" w:hAnsi="Times New Roman" w:eastAsia="宋体"/>
          <w:b w:val="0"/>
          <w:i/>
          <w:color w:val="000000"/>
          <w:sz w:val="20"/>
        </w:rPr>
        <w:t>NOTE 3 — Understanding the internal context can be facilitated by considering issues related to the organization's strategic direction, values, culture, resources, knowledge and performance.</w:t>
      </w:r>
    </w:p>
    <w:p w14:paraId="12972FC7">
      <w:pPr>
        <w:spacing w:before="0" w:after="100"/>
        <w:ind w:left="227"/>
        <w:jc w:val="both"/>
      </w:pPr>
      <w:r>
        <w:rPr>
          <w:rFonts w:ascii="Times New Roman" w:hAnsi="Times New Roman" w:eastAsia="宋体"/>
          <w:b w:val="0"/>
          <w:i w:val="0"/>
          <w:color w:val="000000"/>
          <w:sz w:val="20"/>
        </w:rPr>
        <w:t>注3：考虑与组织的战略方向、价值观、文化、资源、知识和绩效相关的因素，有助于理解内部环境。</w:t>
      </w:r>
    </w:p>
    <w:p w14:paraId="751AD75C">
      <w:pPr>
        <w:keepNext/>
        <w:spacing w:before="240" w:after="0"/>
        <w:jc w:val="left"/>
      </w:pPr>
      <w:r>
        <w:rPr>
          <w:rFonts w:ascii="Times New Roman" w:hAnsi="Times New Roman" w:eastAsia="宋体"/>
          <w:b/>
          <w:i w:val="0"/>
          <w:color w:val="000000"/>
          <w:sz w:val="24"/>
        </w:rPr>
        <w:t>4.2  Understanding the needs and expectations of interested parties</w:t>
      </w:r>
    </w:p>
    <w:p w14:paraId="78080B03">
      <w:pPr>
        <w:spacing w:before="0" w:after="80"/>
        <w:jc w:val="left"/>
      </w:pPr>
      <w:r>
        <w:rPr>
          <w:rFonts w:ascii="Times New Roman" w:hAnsi="Times New Roman" w:eastAsia="黑体"/>
          <w:b w:val="0"/>
          <w:i w:val="0"/>
          <w:color w:val="000000"/>
          <w:sz w:val="24"/>
        </w:rPr>
        <w:t>4.2  理解相关方的需求和期望</w:t>
      </w:r>
    </w:p>
    <w:p w14:paraId="4B28ABC5">
      <w:pPr>
        <w:keepNext/>
        <w:spacing w:before="60" w:after="0"/>
        <w:jc w:val="both"/>
      </w:pPr>
      <w:r>
        <w:rPr>
          <w:rFonts w:ascii="Times New Roman" w:hAnsi="Times New Roman" w:eastAsia="宋体"/>
          <w:b w:val="0"/>
          <w:i w:val="0"/>
          <w:color w:val="000000"/>
          <w:sz w:val="21"/>
        </w:rPr>
        <w:t>The organization shall determine:</w:t>
      </w:r>
    </w:p>
    <w:p w14:paraId="0DC83E73">
      <w:pPr>
        <w:spacing w:before="0" w:after="100"/>
        <w:jc w:val="both"/>
      </w:pPr>
      <w:r>
        <w:rPr>
          <w:rFonts w:ascii="Times New Roman" w:hAnsi="Times New Roman" w:eastAsia="宋体"/>
          <w:b w:val="0"/>
          <w:i w:val="0"/>
          <w:color w:val="000000"/>
          <w:sz w:val="21"/>
        </w:rPr>
        <w:t>组织应确定：</w:t>
      </w:r>
    </w:p>
    <w:p w14:paraId="17F6DAED">
      <w:pPr>
        <w:keepNext/>
        <w:spacing w:before="20" w:after="0"/>
        <w:ind w:left="357" w:hanging="357"/>
        <w:jc w:val="both"/>
      </w:pPr>
      <w:r>
        <w:rPr>
          <w:rFonts w:ascii="Times New Roman" w:hAnsi="Times New Roman" w:eastAsia="宋体"/>
          <w:b w:val="0"/>
          <w:i w:val="0"/>
          <w:color w:val="000000"/>
          <w:sz w:val="21"/>
        </w:rPr>
        <w:t>a) the interested parties that are relevant to the quality management system;</w:t>
      </w:r>
    </w:p>
    <w:p w14:paraId="006A6EB0">
      <w:pPr>
        <w:spacing w:before="0" w:after="60"/>
        <w:ind w:left="357" w:hanging="357"/>
        <w:jc w:val="both"/>
      </w:pPr>
      <w:r>
        <w:rPr>
          <w:rFonts w:ascii="Times New Roman" w:hAnsi="Times New Roman" w:eastAsia="宋体"/>
          <w:b w:val="0"/>
          <w:i w:val="0"/>
          <w:color w:val="000000"/>
          <w:sz w:val="21"/>
        </w:rPr>
        <w:t>a) 与质量管理体系有关的相关方；</w:t>
      </w:r>
    </w:p>
    <w:p w14:paraId="409FD799">
      <w:pPr>
        <w:keepNext/>
        <w:spacing w:before="20" w:after="0"/>
        <w:ind w:left="357" w:hanging="357"/>
        <w:jc w:val="both"/>
      </w:pPr>
      <w:r>
        <w:rPr>
          <w:rFonts w:ascii="Times New Roman" w:hAnsi="Times New Roman" w:eastAsia="宋体"/>
          <w:b w:val="0"/>
          <w:i w:val="0"/>
          <w:color w:val="000000"/>
          <w:sz w:val="21"/>
        </w:rPr>
        <w:t>b) the relevant requirements of these interested parties;</w:t>
      </w:r>
    </w:p>
    <w:p w14:paraId="3AF224F2">
      <w:pPr>
        <w:spacing w:before="0" w:after="60"/>
        <w:ind w:left="357" w:hanging="357"/>
        <w:jc w:val="both"/>
      </w:pPr>
      <w:r>
        <w:rPr>
          <w:rFonts w:ascii="Times New Roman" w:hAnsi="Times New Roman" w:eastAsia="宋体"/>
          <w:b w:val="0"/>
          <w:i w:val="0"/>
          <w:color w:val="000000"/>
          <w:sz w:val="21"/>
        </w:rPr>
        <w:t>b) 这些相关方的有关要求；</w:t>
      </w:r>
    </w:p>
    <w:p w14:paraId="0E58BF15">
      <w:pPr>
        <w:keepNext/>
        <w:spacing w:before="20" w:after="0"/>
        <w:ind w:left="357" w:hanging="357"/>
        <w:jc w:val="both"/>
      </w:pPr>
      <w:r>
        <w:rPr>
          <w:rFonts w:ascii="Times New Roman" w:hAnsi="Times New Roman" w:eastAsia="宋体"/>
          <w:b w:val="0"/>
          <w:i w:val="0"/>
          <w:color w:val="000000"/>
          <w:sz w:val="21"/>
        </w:rPr>
        <w:t>c) which of these requirements will be addressed through the quality management system.</w:t>
      </w:r>
    </w:p>
    <w:p w14:paraId="3278E6F9">
      <w:pPr>
        <w:spacing w:before="0" w:after="60"/>
        <w:ind w:left="357" w:hanging="357"/>
        <w:jc w:val="both"/>
      </w:pPr>
      <w:r>
        <w:rPr>
          <w:rFonts w:ascii="Times New Roman" w:hAnsi="Times New Roman" w:eastAsia="宋体"/>
          <w:b w:val="0"/>
          <w:i w:val="0"/>
          <w:color w:val="000000"/>
          <w:sz w:val="21"/>
        </w:rPr>
        <w:t>c) 这些要求中哪些将通过质量管理体系予以应对。</w:t>
      </w:r>
    </w:p>
    <w:p w14:paraId="27F7B72A">
      <w:pPr>
        <w:keepNext/>
        <w:spacing w:before="60" w:after="0"/>
        <w:jc w:val="both"/>
      </w:pPr>
      <w:r>
        <w:rPr>
          <w:rFonts w:ascii="Times New Roman" w:hAnsi="Times New Roman" w:eastAsia="宋体"/>
          <w:b w:val="0"/>
          <w:i w:val="0"/>
          <w:color w:val="000000"/>
          <w:sz w:val="21"/>
        </w:rPr>
        <w:t>The organization shall monitor and review information about these interested parties and their relevant requirements.</w:t>
      </w:r>
    </w:p>
    <w:p w14:paraId="60566C41">
      <w:pPr>
        <w:spacing w:before="0" w:after="100"/>
        <w:jc w:val="both"/>
      </w:pPr>
      <w:r>
        <w:rPr>
          <w:rFonts w:ascii="Times New Roman" w:hAnsi="Times New Roman" w:eastAsia="宋体"/>
          <w:b w:val="0"/>
          <w:i w:val="0"/>
          <w:color w:val="000000"/>
          <w:sz w:val="21"/>
        </w:rPr>
        <w:t>组织应对这些相关方及其有关要求的相关信息进行监视和评审。</w:t>
      </w:r>
    </w:p>
    <w:p w14:paraId="38A683FA">
      <w:pPr>
        <w:keepNext/>
        <w:spacing w:before="20" w:after="0"/>
        <w:ind w:left="227"/>
        <w:jc w:val="both"/>
      </w:pPr>
      <w:r>
        <w:rPr>
          <w:rFonts w:ascii="Times New Roman" w:hAnsi="Times New Roman" w:eastAsia="宋体"/>
          <w:b w:val="0"/>
          <w:i/>
          <w:color w:val="000000"/>
          <w:sz w:val="20"/>
        </w:rPr>
        <w:t>NOTE — Relevant interested parties can have requirements related to climate change.</w:t>
      </w:r>
    </w:p>
    <w:p w14:paraId="38974BA6">
      <w:pPr>
        <w:spacing w:before="0" w:after="100"/>
        <w:ind w:left="227"/>
        <w:jc w:val="both"/>
      </w:pPr>
      <w:r>
        <w:rPr>
          <w:rFonts w:ascii="Times New Roman" w:hAnsi="Times New Roman" w:eastAsia="宋体"/>
          <w:b w:val="0"/>
          <w:i w:val="0"/>
          <w:color w:val="000000"/>
          <w:sz w:val="20"/>
        </w:rPr>
        <w:t>注：相关方可能提出与气候变化有关的要求。</w:t>
      </w:r>
    </w:p>
    <w:p w14:paraId="7DB626E7">
      <w:pPr>
        <w:keepNext/>
        <w:spacing w:before="240" w:after="0"/>
        <w:jc w:val="left"/>
      </w:pPr>
      <w:r>
        <w:rPr>
          <w:rFonts w:ascii="Times New Roman" w:hAnsi="Times New Roman" w:eastAsia="宋体"/>
          <w:b/>
          <w:i w:val="0"/>
          <w:color w:val="000000"/>
          <w:sz w:val="24"/>
        </w:rPr>
        <w:t>4.3  Determining the scope of the quality management system</w:t>
      </w:r>
    </w:p>
    <w:p w14:paraId="57A357CF">
      <w:pPr>
        <w:spacing w:before="0" w:after="80"/>
        <w:jc w:val="left"/>
      </w:pPr>
      <w:r>
        <w:rPr>
          <w:rFonts w:ascii="Times New Roman" w:hAnsi="Times New Roman" w:eastAsia="黑体"/>
          <w:b w:val="0"/>
          <w:i w:val="0"/>
          <w:color w:val="000000"/>
          <w:sz w:val="24"/>
        </w:rPr>
        <w:t>4.3  确定质量管理体系的范围</w:t>
      </w:r>
    </w:p>
    <w:p w14:paraId="4F252FE6">
      <w:pPr>
        <w:keepNext/>
        <w:spacing w:before="60" w:after="0"/>
        <w:jc w:val="both"/>
      </w:pPr>
      <w:r>
        <w:rPr>
          <w:rFonts w:ascii="Times New Roman" w:hAnsi="Times New Roman" w:eastAsia="宋体"/>
          <w:b w:val="0"/>
          <w:i w:val="0"/>
          <w:color w:val="000000"/>
          <w:sz w:val="21"/>
        </w:rPr>
        <w:t>The organization shall determine the boundaries and applicability of the quality management system to establish its scope.</w:t>
      </w:r>
    </w:p>
    <w:p w14:paraId="0599EC20">
      <w:pPr>
        <w:spacing w:before="0" w:after="100"/>
        <w:jc w:val="both"/>
      </w:pPr>
      <w:r>
        <w:rPr>
          <w:rFonts w:ascii="Times New Roman" w:hAnsi="Times New Roman" w:eastAsia="宋体"/>
          <w:b w:val="0"/>
          <w:i w:val="0"/>
          <w:color w:val="000000"/>
          <w:sz w:val="21"/>
        </w:rPr>
        <w:t>组织应确定质量管理体系的边界和适用性，以确定其范围。</w:t>
      </w:r>
    </w:p>
    <w:p w14:paraId="53656594">
      <w:pPr>
        <w:keepNext/>
        <w:spacing w:before="60" w:after="0"/>
        <w:jc w:val="both"/>
      </w:pPr>
      <w:r>
        <w:rPr>
          <w:rFonts w:ascii="Times New Roman" w:hAnsi="Times New Roman" w:eastAsia="宋体"/>
          <w:b w:val="0"/>
          <w:i w:val="0"/>
          <w:color w:val="000000"/>
          <w:sz w:val="21"/>
        </w:rPr>
        <w:t>When determining this scope, the organization shall consider:</w:t>
      </w:r>
    </w:p>
    <w:p w14:paraId="0FE398A8">
      <w:pPr>
        <w:spacing w:before="0" w:after="100"/>
        <w:jc w:val="both"/>
      </w:pPr>
      <w:r>
        <w:rPr>
          <w:rFonts w:ascii="Times New Roman" w:hAnsi="Times New Roman" w:eastAsia="宋体"/>
          <w:b w:val="0"/>
          <w:i w:val="0"/>
          <w:color w:val="000000"/>
          <w:sz w:val="21"/>
        </w:rPr>
        <w:t>在确定该范围时，组织应考虑：</w:t>
      </w:r>
    </w:p>
    <w:p w14:paraId="2C6E5858">
      <w:pPr>
        <w:keepNext/>
        <w:spacing w:before="20" w:after="0"/>
        <w:ind w:left="357" w:hanging="357"/>
        <w:jc w:val="both"/>
      </w:pPr>
      <w:r>
        <w:rPr>
          <w:rFonts w:ascii="Times New Roman" w:hAnsi="Times New Roman" w:eastAsia="宋体"/>
          <w:b w:val="0"/>
          <w:i w:val="0"/>
          <w:color w:val="000000"/>
          <w:sz w:val="21"/>
        </w:rPr>
        <w:t>a) the external and internal issues referred to in 4.1;</w:t>
      </w:r>
    </w:p>
    <w:p w14:paraId="6880ACC9">
      <w:pPr>
        <w:spacing w:before="0" w:after="60"/>
        <w:ind w:left="357" w:hanging="357"/>
        <w:jc w:val="both"/>
      </w:pPr>
      <w:r>
        <w:rPr>
          <w:rFonts w:ascii="Times New Roman" w:hAnsi="Times New Roman" w:eastAsia="宋体"/>
          <w:b w:val="0"/>
          <w:i w:val="0"/>
          <w:color w:val="000000"/>
          <w:sz w:val="21"/>
        </w:rPr>
        <w:t>a) 4.1中提及的外部和内部因素；</w:t>
      </w:r>
    </w:p>
    <w:p w14:paraId="321053B2">
      <w:pPr>
        <w:keepNext/>
        <w:spacing w:before="20" w:after="0"/>
        <w:ind w:left="357" w:hanging="357"/>
        <w:jc w:val="both"/>
      </w:pPr>
      <w:r>
        <w:rPr>
          <w:rFonts w:ascii="Times New Roman" w:hAnsi="Times New Roman" w:eastAsia="宋体"/>
          <w:b w:val="0"/>
          <w:i w:val="0"/>
          <w:color w:val="000000"/>
          <w:sz w:val="21"/>
        </w:rPr>
        <w:t>b) the requirements referred to in 4.2;</w:t>
      </w:r>
    </w:p>
    <w:p w14:paraId="0722DD93">
      <w:pPr>
        <w:spacing w:before="0" w:after="60"/>
        <w:ind w:left="357" w:hanging="357"/>
        <w:jc w:val="both"/>
      </w:pPr>
      <w:r>
        <w:rPr>
          <w:rFonts w:ascii="Times New Roman" w:hAnsi="Times New Roman" w:eastAsia="宋体"/>
          <w:b w:val="0"/>
          <w:i w:val="0"/>
          <w:color w:val="000000"/>
          <w:sz w:val="21"/>
        </w:rPr>
        <w:t>b) 4.2中提及的要求；</w:t>
      </w:r>
    </w:p>
    <w:p w14:paraId="6A8E4A4B">
      <w:pPr>
        <w:keepNext/>
        <w:spacing w:before="20" w:after="0"/>
        <w:ind w:left="357" w:hanging="357"/>
        <w:jc w:val="both"/>
      </w:pPr>
      <w:r>
        <w:rPr>
          <w:rFonts w:ascii="Times New Roman" w:hAnsi="Times New Roman" w:eastAsia="宋体"/>
          <w:b w:val="0"/>
          <w:i w:val="0"/>
          <w:color w:val="000000"/>
          <w:sz w:val="21"/>
        </w:rPr>
        <w:t>c) the products and services of the organization.</w:t>
      </w:r>
    </w:p>
    <w:p w14:paraId="6A0E7B2F">
      <w:pPr>
        <w:spacing w:before="0" w:after="60"/>
        <w:ind w:left="357" w:hanging="357"/>
        <w:jc w:val="both"/>
      </w:pPr>
      <w:r>
        <w:rPr>
          <w:rFonts w:ascii="Times New Roman" w:hAnsi="Times New Roman" w:eastAsia="宋体"/>
          <w:b w:val="0"/>
          <w:i w:val="0"/>
          <w:color w:val="000000"/>
          <w:sz w:val="21"/>
        </w:rPr>
        <w:t>c) 组织的产品和服务。</w:t>
      </w:r>
    </w:p>
    <w:p w14:paraId="576B890F">
      <w:pPr>
        <w:keepNext/>
        <w:spacing w:before="60" w:after="0"/>
        <w:jc w:val="both"/>
      </w:pPr>
      <w:r>
        <w:rPr>
          <w:rFonts w:ascii="Times New Roman" w:hAnsi="Times New Roman" w:eastAsia="宋体"/>
          <w:b w:val="0"/>
          <w:i w:val="0"/>
          <w:color w:val="000000"/>
          <w:sz w:val="21"/>
        </w:rPr>
        <w:t>The organization shall apply all the requirements of this document if they are applicable within the determined scope of its quality management system.</w:t>
      </w:r>
    </w:p>
    <w:p w14:paraId="292B3D81">
      <w:pPr>
        <w:spacing w:before="0" w:after="100"/>
        <w:jc w:val="both"/>
      </w:pPr>
      <w:r>
        <w:rPr>
          <w:rFonts w:ascii="Times New Roman" w:hAnsi="Times New Roman" w:eastAsia="宋体"/>
          <w:b w:val="0"/>
          <w:i w:val="0"/>
          <w:color w:val="000000"/>
          <w:sz w:val="21"/>
        </w:rPr>
        <w:t>凡在本文件中确定适用于组织质量管理体系范围的要求，组织均应予以应用。</w:t>
      </w:r>
    </w:p>
    <w:p w14:paraId="19259610">
      <w:pPr>
        <w:keepNext/>
        <w:spacing w:before="60" w:after="0"/>
        <w:jc w:val="both"/>
      </w:pPr>
      <w:r>
        <w:rPr>
          <w:rFonts w:ascii="Times New Roman" w:hAnsi="Times New Roman" w:eastAsia="宋体"/>
          <w:b w:val="0"/>
          <w:i w:val="0"/>
          <w:color w:val="000000"/>
          <w:sz w:val="21"/>
        </w:rPr>
        <w:t>The scope shall state the types of products and services covered.</w:t>
      </w:r>
    </w:p>
    <w:p w14:paraId="5E831879">
      <w:pPr>
        <w:spacing w:before="0" w:after="100"/>
        <w:jc w:val="both"/>
      </w:pPr>
      <w:r>
        <w:rPr>
          <w:rFonts w:ascii="Times New Roman" w:hAnsi="Times New Roman" w:eastAsia="宋体"/>
          <w:b w:val="0"/>
          <w:i w:val="0"/>
          <w:color w:val="000000"/>
          <w:sz w:val="21"/>
        </w:rPr>
        <w:t>组织的范围应陈述其覆盖的产品和服务的类型。</w:t>
      </w:r>
    </w:p>
    <w:p w14:paraId="6602791E">
      <w:pPr>
        <w:keepNext/>
        <w:spacing w:before="60" w:after="0"/>
        <w:jc w:val="both"/>
      </w:pPr>
      <w:r>
        <w:rPr>
          <w:rFonts w:ascii="Times New Roman" w:hAnsi="Times New Roman" w:eastAsia="宋体"/>
          <w:b w:val="0"/>
          <w:i w:val="0"/>
          <w:color w:val="000000"/>
          <w:sz w:val="21"/>
        </w:rPr>
        <w:t>The scope shall include justification for any requirement of this document that the organization determines is not applicable to its quality management system.</w:t>
      </w:r>
    </w:p>
    <w:p w14:paraId="79C713D8">
      <w:pPr>
        <w:spacing w:before="0" w:after="100"/>
        <w:jc w:val="both"/>
      </w:pPr>
      <w:r>
        <w:rPr>
          <w:rFonts w:ascii="Times New Roman" w:hAnsi="Times New Roman" w:eastAsia="宋体"/>
          <w:b w:val="0"/>
          <w:i w:val="0"/>
          <w:color w:val="000000"/>
          <w:sz w:val="21"/>
        </w:rPr>
        <w:t>对组织确定的不适用于其质量管理体系的本文件的任何要求，组织应在范围中说明其理由。</w:t>
      </w:r>
    </w:p>
    <w:p w14:paraId="6E275F29">
      <w:pPr>
        <w:keepNext/>
        <w:spacing w:before="60" w:after="0"/>
        <w:jc w:val="both"/>
      </w:pPr>
      <w:r>
        <w:rPr>
          <w:rFonts w:ascii="Times New Roman" w:hAnsi="Times New Roman" w:eastAsia="宋体"/>
          <w:b w:val="0"/>
          <w:i w:val="0"/>
          <w:color w:val="000000"/>
          <w:sz w:val="21"/>
        </w:rPr>
        <w:t>The scope shall be available as documented information.</w:t>
      </w:r>
    </w:p>
    <w:p w14:paraId="71D78774">
      <w:pPr>
        <w:spacing w:before="0" w:after="100"/>
        <w:jc w:val="both"/>
      </w:pPr>
      <w:r>
        <w:rPr>
          <w:rFonts w:ascii="Times New Roman" w:hAnsi="Times New Roman" w:eastAsia="宋体"/>
          <w:b w:val="0"/>
          <w:i w:val="0"/>
          <w:color w:val="000000"/>
          <w:sz w:val="21"/>
        </w:rPr>
        <w:t>范围应作为成文信息可获得。</w:t>
      </w:r>
    </w:p>
    <w:p w14:paraId="22F53DA1">
      <w:pPr>
        <w:keepNext/>
        <w:spacing w:before="60" w:after="0"/>
        <w:jc w:val="both"/>
      </w:pPr>
      <w:r>
        <w:rPr>
          <w:rFonts w:ascii="Times New Roman" w:hAnsi="Times New Roman" w:eastAsia="宋体"/>
          <w:b w:val="0"/>
          <w:i w:val="0"/>
          <w:color w:val="000000"/>
          <w:sz w:val="21"/>
        </w:rPr>
        <w:t>Conformity to this document can only be claimed if the requirements determined as not being applicable do not affect the organization's ability or responsibility to ensure the conformity of its products and services and the enhancement of customer satisfaction.</w:t>
      </w:r>
    </w:p>
    <w:p w14:paraId="1A6E7487">
      <w:pPr>
        <w:spacing w:before="0" w:after="100"/>
        <w:jc w:val="both"/>
      </w:pPr>
      <w:r>
        <w:rPr>
          <w:rFonts w:ascii="Times New Roman" w:hAnsi="Times New Roman" w:eastAsia="宋体"/>
          <w:b w:val="0"/>
          <w:i w:val="0"/>
          <w:color w:val="000000"/>
          <w:sz w:val="21"/>
        </w:rPr>
        <w:t>只有当所确定的不适用的要求不影响组织确保其产品和服务合格以及增强顾客满意的能力或责任时，组织方可声称符合本文件。</w:t>
      </w:r>
    </w:p>
    <w:p w14:paraId="56371C16">
      <w:pPr>
        <w:keepNext/>
        <w:spacing w:before="240" w:after="0"/>
        <w:jc w:val="left"/>
      </w:pPr>
      <w:r>
        <w:rPr>
          <w:rFonts w:ascii="Times New Roman" w:hAnsi="Times New Roman" w:eastAsia="宋体"/>
          <w:b/>
          <w:i w:val="0"/>
          <w:color w:val="000000"/>
          <w:sz w:val="24"/>
        </w:rPr>
        <w:t>4.4  Quality management system</w:t>
      </w:r>
    </w:p>
    <w:p w14:paraId="0DA023D9">
      <w:pPr>
        <w:spacing w:before="0" w:after="80"/>
        <w:jc w:val="left"/>
      </w:pPr>
      <w:r>
        <w:rPr>
          <w:rFonts w:ascii="Times New Roman" w:hAnsi="Times New Roman" w:eastAsia="黑体"/>
          <w:b w:val="0"/>
          <w:i w:val="0"/>
          <w:color w:val="000000"/>
          <w:sz w:val="24"/>
        </w:rPr>
        <w:t>4.4  质量管理体系</w:t>
      </w:r>
    </w:p>
    <w:p w14:paraId="44FD358C">
      <w:pPr>
        <w:keepNext/>
        <w:spacing w:before="60" w:after="0"/>
        <w:jc w:val="both"/>
      </w:pPr>
      <w:r>
        <w:rPr>
          <w:rFonts w:ascii="Times New Roman" w:hAnsi="Times New Roman" w:eastAsia="宋体"/>
          <w:b w:val="0"/>
          <w:i w:val="0"/>
          <w:color w:val="000000"/>
          <w:sz w:val="21"/>
        </w:rPr>
        <w:t>4.4.1　The organization shall establish, implement, maintain and continually improve a quality management system, including the processes needed and their interactions, in accordance with the requirements of this document.</w:t>
      </w:r>
    </w:p>
    <w:p w14:paraId="31695804">
      <w:pPr>
        <w:spacing w:before="0" w:after="100"/>
        <w:jc w:val="both"/>
      </w:pPr>
      <w:r>
        <w:rPr>
          <w:rFonts w:ascii="Times New Roman" w:hAnsi="Times New Roman" w:eastAsia="宋体"/>
          <w:b w:val="0"/>
          <w:i w:val="0"/>
          <w:color w:val="000000"/>
          <w:sz w:val="21"/>
        </w:rPr>
        <w:t>4.4.1　组织应按照本文件的要求，建立、实施、保持和持续改进质量管理体系，包括所需的过程及其相互作用。</w:t>
      </w:r>
    </w:p>
    <w:p w14:paraId="3E974235">
      <w:pPr>
        <w:keepNext/>
        <w:spacing w:before="60" w:after="0"/>
        <w:jc w:val="both"/>
      </w:pPr>
      <w:r>
        <w:rPr>
          <w:rFonts w:ascii="Times New Roman" w:hAnsi="Times New Roman" w:eastAsia="宋体"/>
          <w:b w:val="0"/>
          <w:i w:val="0"/>
          <w:color w:val="000000"/>
          <w:sz w:val="21"/>
        </w:rPr>
        <w:t>The organization shall:</w:t>
      </w:r>
    </w:p>
    <w:p w14:paraId="043C9D83">
      <w:pPr>
        <w:spacing w:before="0" w:after="100"/>
        <w:jc w:val="both"/>
      </w:pPr>
      <w:r>
        <w:rPr>
          <w:rFonts w:ascii="Times New Roman" w:hAnsi="Times New Roman" w:eastAsia="宋体"/>
          <w:b w:val="0"/>
          <w:i w:val="0"/>
          <w:color w:val="000000"/>
          <w:sz w:val="21"/>
        </w:rPr>
        <w:t>组织应：</w:t>
      </w:r>
    </w:p>
    <w:p w14:paraId="71DA5014">
      <w:pPr>
        <w:keepNext/>
        <w:spacing w:before="20" w:after="0"/>
        <w:ind w:left="357" w:hanging="357"/>
        <w:jc w:val="both"/>
      </w:pPr>
      <w:r>
        <w:rPr>
          <w:rFonts w:ascii="Times New Roman" w:hAnsi="Times New Roman" w:eastAsia="宋体"/>
          <w:b w:val="0"/>
          <w:i w:val="0"/>
          <w:color w:val="000000"/>
          <w:sz w:val="21"/>
        </w:rPr>
        <w:t>a) determine the processes needed for the quality management system and their application throughout the organization;</w:t>
      </w:r>
    </w:p>
    <w:p w14:paraId="41E27367">
      <w:pPr>
        <w:spacing w:before="0" w:after="60"/>
        <w:ind w:left="357" w:hanging="357"/>
        <w:jc w:val="both"/>
      </w:pPr>
      <w:r>
        <w:rPr>
          <w:rFonts w:ascii="Times New Roman" w:hAnsi="Times New Roman" w:eastAsia="宋体"/>
          <w:b w:val="0"/>
          <w:i w:val="0"/>
          <w:color w:val="000000"/>
          <w:sz w:val="21"/>
        </w:rPr>
        <w:t>a) 确定质量管理体系所需的过程及其在整个组织中的应用；</w:t>
      </w:r>
    </w:p>
    <w:p w14:paraId="6AF97B7A">
      <w:pPr>
        <w:keepNext/>
        <w:spacing w:before="20" w:after="0"/>
        <w:ind w:left="357" w:hanging="357"/>
        <w:jc w:val="both"/>
      </w:pPr>
      <w:r>
        <w:rPr>
          <w:rFonts w:ascii="Times New Roman" w:hAnsi="Times New Roman" w:eastAsia="宋体"/>
          <w:b w:val="0"/>
          <w:i w:val="0"/>
          <w:color w:val="000000"/>
          <w:sz w:val="21"/>
        </w:rPr>
        <w:t>b) determine the inputs required and the outputs expected from these processes;</w:t>
      </w:r>
    </w:p>
    <w:p w14:paraId="2A57F976">
      <w:pPr>
        <w:spacing w:before="0" w:after="60"/>
        <w:ind w:left="357" w:hanging="357"/>
        <w:jc w:val="both"/>
      </w:pPr>
      <w:r>
        <w:rPr>
          <w:rFonts w:ascii="Times New Roman" w:hAnsi="Times New Roman" w:eastAsia="宋体"/>
          <w:b w:val="0"/>
          <w:i w:val="0"/>
          <w:color w:val="000000"/>
          <w:sz w:val="21"/>
        </w:rPr>
        <w:t>b) 确定这些过程所需的输入和期望的输出；</w:t>
      </w:r>
    </w:p>
    <w:p w14:paraId="60D54329">
      <w:pPr>
        <w:keepNext/>
        <w:spacing w:before="20" w:after="0"/>
        <w:ind w:left="357" w:hanging="357"/>
        <w:jc w:val="both"/>
      </w:pPr>
      <w:r>
        <w:rPr>
          <w:rFonts w:ascii="Times New Roman" w:hAnsi="Times New Roman" w:eastAsia="宋体"/>
          <w:b w:val="0"/>
          <w:i w:val="0"/>
          <w:color w:val="000000"/>
          <w:sz w:val="21"/>
        </w:rPr>
        <w:t>c) determine the sequence and interaction of these processes;</w:t>
      </w:r>
    </w:p>
    <w:p w14:paraId="2EE7B626">
      <w:pPr>
        <w:spacing w:before="0" w:after="60"/>
        <w:ind w:left="357" w:hanging="357"/>
        <w:jc w:val="both"/>
      </w:pPr>
      <w:r>
        <w:rPr>
          <w:rFonts w:ascii="Times New Roman" w:hAnsi="Times New Roman" w:eastAsia="宋体"/>
          <w:b w:val="0"/>
          <w:i w:val="0"/>
          <w:color w:val="000000"/>
          <w:sz w:val="21"/>
        </w:rPr>
        <w:t>c) 确定这些过程的顺序和相互作用；</w:t>
      </w:r>
    </w:p>
    <w:p w14:paraId="5F288983">
      <w:pPr>
        <w:keepNext/>
        <w:spacing w:before="20" w:after="0"/>
        <w:ind w:left="357" w:hanging="357"/>
        <w:jc w:val="both"/>
      </w:pPr>
      <w:r>
        <w:rPr>
          <w:rFonts w:ascii="Times New Roman" w:hAnsi="Times New Roman" w:eastAsia="宋体"/>
          <w:b w:val="0"/>
          <w:i w:val="0"/>
          <w:color w:val="000000"/>
          <w:sz w:val="21"/>
        </w:rPr>
        <w:t>d) determine and apply the criteria and methods needed (including monitoring, measurements and related performance indicators) to ensure the effective operation and control of these processes;</w:t>
      </w:r>
    </w:p>
    <w:p w14:paraId="6BB84B97">
      <w:pPr>
        <w:spacing w:before="0" w:after="60"/>
        <w:ind w:left="357" w:hanging="357"/>
        <w:jc w:val="both"/>
      </w:pPr>
      <w:r>
        <w:rPr>
          <w:rFonts w:ascii="Times New Roman" w:hAnsi="Times New Roman" w:eastAsia="宋体"/>
          <w:b w:val="0"/>
          <w:i w:val="0"/>
          <w:color w:val="000000"/>
          <w:sz w:val="21"/>
        </w:rPr>
        <w:t>d) 确定并应用所需的准则和方法（包括监视、测量和相关绩效指标），以确保这些过程的有效运行和控制；</w:t>
      </w:r>
    </w:p>
    <w:p w14:paraId="35FCB23F">
      <w:pPr>
        <w:keepNext/>
        <w:spacing w:before="20" w:after="0"/>
        <w:ind w:left="357" w:hanging="357"/>
        <w:jc w:val="both"/>
      </w:pPr>
      <w:r>
        <w:rPr>
          <w:rFonts w:ascii="Times New Roman" w:hAnsi="Times New Roman" w:eastAsia="宋体"/>
          <w:b w:val="0"/>
          <w:i w:val="0"/>
          <w:color w:val="000000"/>
          <w:sz w:val="21"/>
        </w:rPr>
        <w:t>e) determine the resources needed for these processes and ensure their availability;</w:t>
      </w:r>
    </w:p>
    <w:p w14:paraId="76D97EFE">
      <w:pPr>
        <w:spacing w:before="0" w:after="60"/>
        <w:ind w:left="357" w:hanging="357"/>
        <w:jc w:val="both"/>
      </w:pPr>
      <w:r>
        <w:rPr>
          <w:rFonts w:ascii="Times New Roman" w:hAnsi="Times New Roman" w:eastAsia="宋体"/>
          <w:b w:val="0"/>
          <w:i w:val="0"/>
          <w:color w:val="000000"/>
          <w:sz w:val="21"/>
        </w:rPr>
        <w:t>e) 确定这些过程所需的资源，并确保其可获得；</w:t>
      </w:r>
    </w:p>
    <w:p w14:paraId="779DE868">
      <w:pPr>
        <w:keepNext/>
        <w:spacing w:before="20" w:after="0"/>
        <w:ind w:left="357" w:hanging="357"/>
        <w:jc w:val="both"/>
      </w:pPr>
      <w:r>
        <w:rPr>
          <w:rFonts w:ascii="Times New Roman" w:hAnsi="Times New Roman" w:eastAsia="宋体"/>
          <w:b w:val="0"/>
          <w:i w:val="0"/>
          <w:color w:val="000000"/>
          <w:sz w:val="21"/>
        </w:rPr>
        <w:t>f) assign the responsibilities and authorities for these processes;</w:t>
      </w:r>
    </w:p>
    <w:p w14:paraId="0FD21AB0">
      <w:pPr>
        <w:spacing w:before="0" w:after="60"/>
        <w:ind w:left="357" w:hanging="357"/>
        <w:jc w:val="both"/>
      </w:pPr>
      <w:r>
        <w:rPr>
          <w:rFonts w:ascii="Times New Roman" w:hAnsi="Times New Roman" w:eastAsia="宋体"/>
          <w:b w:val="0"/>
          <w:i w:val="0"/>
          <w:color w:val="000000"/>
          <w:sz w:val="21"/>
        </w:rPr>
        <w:t>f) 规定这些过程的职责和权限；</w:t>
      </w:r>
    </w:p>
    <w:p w14:paraId="43F94C0D">
      <w:pPr>
        <w:keepNext/>
        <w:spacing w:before="20" w:after="0"/>
        <w:ind w:left="357" w:hanging="357"/>
        <w:jc w:val="both"/>
      </w:pPr>
      <w:r>
        <w:rPr>
          <w:rFonts w:ascii="Times New Roman" w:hAnsi="Times New Roman" w:eastAsia="宋体"/>
          <w:b w:val="0"/>
          <w:i w:val="0"/>
          <w:color w:val="000000"/>
          <w:sz w:val="21"/>
        </w:rPr>
        <w:t>g) address the risks and opportunities as determined in accordance with the requirements of 6.1;</w:t>
      </w:r>
    </w:p>
    <w:p w14:paraId="09D794B8">
      <w:pPr>
        <w:spacing w:before="0" w:after="60"/>
        <w:ind w:left="357" w:hanging="357"/>
        <w:jc w:val="both"/>
      </w:pPr>
      <w:r>
        <w:rPr>
          <w:rFonts w:ascii="Times New Roman" w:hAnsi="Times New Roman" w:eastAsia="宋体"/>
          <w:b w:val="0"/>
          <w:i w:val="0"/>
          <w:color w:val="000000"/>
          <w:sz w:val="21"/>
        </w:rPr>
        <w:t>g) 按照6.1的要求，应对所确定的风险和机遇；</w:t>
      </w:r>
    </w:p>
    <w:p w14:paraId="07E371FA">
      <w:pPr>
        <w:keepNext/>
        <w:spacing w:before="20" w:after="0"/>
        <w:ind w:left="357" w:hanging="357"/>
        <w:jc w:val="both"/>
      </w:pPr>
      <w:r>
        <w:rPr>
          <w:rFonts w:ascii="Times New Roman" w:hAnsi="Times New Roman" w:eastAsia="宋体"/>
          <w:b w:val="0"/>
          <w:i w:val="0"/>
          <w:color w:val="000000"/>
          <w:sz w:val="21"/>
        </w:rPr>
        <w:t>h) evaluate these processes and implement any changes needed to ensure that these processes achieve their intended results;</w:t>
      </w:r>
    </w:p>
    <w:p w14:paraId="47E28A97">
      <w:pPr>
        <w:spacing w:before="0" w:after="60"/>
        <w:ind w:left="357" w:hanging="357"/>
        <w:jc w:val="both"/>
      </w:pPr>
      <w:r>
        <w:rPr>
          <w:rFonts w:ascii="Times New Roman" w:hAnsi="Times New Roman" w:eastAsia="宋体"/>
          <w:b w:val="0"/>
          <w:i w:val="0"/>
          <w:color w:val="000000"/>
          <w:sz w:val="21"/>
        </w:rPr>
        <w:t>h) 评价这些过程，实施所需的任何变更，以确保这些过程实现其预期结果；</w:t>
      </w:r>
    </w:p>
    <w:p w14:paraId="2DD3ABF0">
      <w:pPr>
        <w:keepNext/>
        <w:spacing w:before="20" w:after="0"/>
        <w:ind w:left="357" w:hanging="357"/>
        <w:jc w:val="both"/>
      </w:pPr>
      <w:r>
        <w:rPr>
          <w:rFonts w:ascii="Times New Roman" w:hAnsi="Times New Roman" w:eastAsia="宋体"/>
          <w:b w:val="0"/>
          <w:i w:val="0"/>
          <w:color w:val="000000"/>
          <w:sz w:val="21"/>
        </w:rPr>
        <w:t>i) improve the processes and the quality management system.</w:t>
      </w:r>
    </w:p>
    <w:p w14:paraId="39F49399">
      <w:pPr>
        <w:spacing w:before="0" w:after="60"/>
        <w:ind w:left="357" w:hanging="357"/>
        <w:jc w:val="both"/>
      </w:pPr>
      <w:r>
        <w:rPr>
          <w:rFonts w:ascii="Times New Roman" w:hAnsi="Times New Roman" w:eastAsia="宋体"/>
          <w:b w:val="0"/>
          <w:i w:val="0"/>
          <w:color w:val="000000"/>
          <w:sz w:val="21"/>
        </w:rPr>
        <w:t>i) 改进这些过程和质量管理体系。</w:t>
      </w:r>
    </w:p>
    <w:p w14:paraId="5D8BC800">
      <w:pPr>
        <w:keepNext/>
        <w:spacing w:before="60" w:after="0"/>
        <w:jc w:val="both"/>
      </w:pPr>
      <w:r>
        <w:rPr>
          <w:rFonts w:ascii="Times New Roman" w:hAnsi="Times New Roman" w:eastAsia="宋体"/>
          <w:b w:val="0"/>
          <w:i w:val="0"/>
          <w:color w:val="000000"/>
          <w:sz w:val="21"/>
        </w:rPr>
        <w:t>4.4.2　Documented information shall be available to the extent necessary:</w:t>
      </w:r>
    </w:p>
    <w:p w14:paraId="7C735CB7">
      <w:pPr>
        <w:spacing w:before="0" w:after="100"/>
        <w:jc w:val="both"/>
      </w:pPr>
      <w:r>
        <w:rPr>
          <w:rFonts w:ascii="Times New Roman" w:hAnsi="Times New Roman" w:eastAsia="宋体"/>
          <w:b w:val="0"/>
          <w:i w:val="0"/>
          <w:color w:val="000000"/>
          <w:sz w:val="21"/>
        </w:rPr>
        <w:t>4.4.2　在必要的程度上，成文信息应可获得：</w:t>
      </w:r>
    </w:p>
    <w:p w14:paraId="156C80C5">
      <w:pPr>
        <w:keepNext/>
        <w:spacing w:before="20" w:after="0"/>
        <w:ind w:left="357" w:hanging="357"/>
        <w:jc w:val="both"/>
      </w:pPr>
      <w:r>
        <w:rPr>
          <w:rFonts w:ascii="Times New Roman" w:hAnsi="Times New Roman" w:eastAsia="宋体"/>
          <w:b w:val="0"/>
          <w:i w:val="0"/>
          <w:color w:val="000000"/>
          <w:sz w:val="21"/>
        </w:rPr>
        <w:t>a) to support the operation of the organization's processes;</w:t>
      </w:r>
    </w:p>
    <w:p w14:paraId="77F3DA09">
      <w:pPr>
        <w:spacing w:before="0" w:after="60"/>
        <w:ind w:left="357" w:hanging="357"/>
        <w:jc w:val="both"/>
      </w:pPr>
      <w:r>
        <w:rPr>
          <w:rFonts w:ascii="Times New Roman" w:hAnsi="Times New Roman" w:eastAsia="宋体"/>
          <w:b w:val="0"/>
          <w:i w:val="0"/>
          <w:color w:val="000000"/>
          <w:sz w:val="21"/>
        </w:rPr>
        <w:t>a) 以支持组织过程的运行；</w:t>
      </w:r>
    </w:p>
    <w:p w14:paraId="6AED407D">
      <w:pPr>
        <w:keepNext/>
        <w:spacing w:before="20" w:after="0"/>
        <w:ind w:left="357" w:hanging="357"/>
        <w:jc w:val="both"/>
      </w:pPr>
      <w:r>
        <w:rPr>
          <w:rFonts w:ascii="Times New Roman" w:hAnsi="Times New Roman" w:eastAsia="宋体"/>
          <w:b w:val="0"/>
          <w:i w:val="0"/>
          <w:color w:val="000000"/>
          <w:sz w:val="21"/>
        </w:rPr>
        <w:t>b) as evidence that the processes are being carried out as planned.</w:t>
      </w:r>
    </w:p>
    <w:p w14:paraId="49B36BF4">
      <w:pPr>
        <w:spacing w:before="0" w:after="60"/>
        <w:ind w:left="357" w:hanging="357"/>
        <w:jc w:val="both"/>
      </w:pPr>
      <w:r>
        <w:rPr>
          <w:rFonts w:ascii="Times New Roman" w:hAnsi="Times New Roman" w:eastAsia="宋体"/>
          <w:b w:val="0"/>
          <w:i w:val="0"/>
          <w:color w:val="000000"/>
          <w:sz w:val="21"/>
        </w:rPr>
        <w:t>b) 作为过程正按策划实施的证据。</w:t>
      </w:r>
    </w:p>
    <w:p w14:paraId="4A5688E3">
      <w:pPr>
        <w:keepNext/>
        <w:spacing w:before="320" w:after="0"/>
        <w:jc w:val="left"/>
      </w:pPr>
      <w:r>
        <w:rPr>
          <w:rFonts w:ascii="Times New Roman" w:hAnsi="Times New Roman" w:eastAsia="宋体"/>
          <w:b/>
          <w:i w:val="0"/>
          <w:color w:val="000000"/>
          <w:sz w:val="28"/>
        </w:rPr>
        <w:t>5  Leadership</w:t>
      </w:r>
    </w:p>
    <w:p w14:paraId="0CB23B1E">
      <w:pPr>
        <w:pBdr>
          <w:bottom w:val="single" w:color="C01E2E" w:sz="8" w:space="2"/>
        </w:pBdr>
        <w:spacing w:before="0" w:after="100"/>
        <w:jc w:val="left"/>
      </w:pPr>
      <w:r>
        <w:rPr>
          <w:rFonts w:ascii="Times New Roman" w:hAnsi="Times New Roman" w:eastAsia="黑体"/>
          <w:b w:val="0"/>
          <w:i w:val="0"/>
          <w:color w:val="000000"/>
          <w:sz w:val="28"/>
        </w:rPr>
        <w:t>5  领导作用</w:t>
      </w:r>
    </w:p>
    <w:p w14:paraId="72605633">
      <w:pPr>
        <w:keepNext/>
        <w:spacing w:before="240" w:after="0"/>
        <w:jc w:val="left"/>
      </w:pPr>
      <w:r>
        <w:rPr>
          <w:rFonts w:ascii="Times New Roman" w:hAnsi="Times New Roman" w:eastAsia="宋体"/>
          <w:b/>
          <w:i w:val="0"/>
          <w:color w:val="000000"/>
          <w:sz w:val="24"/>
        </w:rPr>
        <w:t>5.1  Leadership and commitment</w:t>
      </w:r>
    </w:p>
    <w:p w14:paraId="44C0E709">
      <w:pPr>
        <w:spacing w:before="0" w:after="80"/>
        <w:jc w:val="left"/>
      </w:pPr>
      <w:r>
        <w:rPr>
          <w:rFonts w:ascii="Times New Roman" w:hAnsi="Times New Roman" w:eastAsia="黑体"/>
          <w:b w:val="0"/>
          <w:i w:val="0"/>
          <w:color w:val="000000"/>
          <w:sz w:val="24"/>
        </w:rPr>
        <w:t>5.1  领导作用和承诺</w:t>
      </w:r>
    </w:p>
    <w:p w14:paraId="229250BD">
      <w:pPr>
        <w:keepNext/>
        <w:spacing w:before="200" w:after="0"/>
        <w:jc w:val="left"/>
      </w:pPr>
      <w:r>
        <w:rPr>
          <w:rFonts w:ascii="Times New Roman" w:hAnsi="Times New Roman" w:eastAsia="宋体"/>
          <w:b/>
          <w:i w:val="0"/>
          <w:color w:val="000000"/>
          <w:sz w:val="22"/>
        </w:rPr>
        <w:t>5.1.1  General</w:t>
      </w:r>
    </w:p>
    <w:p w14:paraId="2A3EC1A6">
      <w:pPr>
        <w:spacing w:before="0" w:after="80"/>
        <w:jc w:val="left"/>
      </w:pPr>
      <w:r>
        <w:rPr>
          <w:rFonts w:ascii="Times New Roman" w:hAnsi="Times New Roman" w:eastAsia="黑体"/>
          <w:b w:val="0"/>
          <w:i w:val="0"/>
          <w:color w:val="000000"/>
          <w:sz w:val="22"/>
        </w:rPr>
        <w:t>5.1.1  总则</w:t>
      </w:r>
    </w:p>
    <w:p w14:paraId="392958DA">
      <w:pPr>
        <w:keepNext/>
        <w:spacing w:before="60" w:after="0"/>
        <w:jc w:val="both"/>
      </w:pPr>
      <w:r>
        <w:rPr>
          <w:rFonts w:ascii="Times New Roman" w:hAnsi="Times New Roman" w:eastAsia="宋体"/>
          <w:b w:val="0"/>
          <w:i w:val="0"/>
          <w:color w:val="000000"/>
          <w:sz w:val="21"/>
        </w:rPr>
        <w:t>Top management shall demonstrate leadership and commitment with respect to the quality management system by:</w:t>
      </w:r>
    </w:p>
    <w:p w14:paraId="7FB48554">
      <w:pPr>
        <w:spacing w:before="0" w:after="100"/>
        <w:jc w:val="both"/>
      </w:pPr>
      <w:r>
        <w:rPr>
          <w:rFonts w:ascii="Times New Roman" w:hAnsi="Times New Roman" w:eastAsia="宋体"/>
          <w:b w:val="0"/>
          <w:i w:val="0"/>
          <w:color w:val="000000"/>
          <w:sz w:val="21"/>
        </w:rPr>
        <w:t>最高管理者应通过以下方面，证实其对质量管理体系的领导作用和承诺：</w:t>
      </w:r>
    </w:p>
    <w:p w14:paraId="44A18A73">
      <w:pPr>
        <w:keepNext/>
        <w:spacing w:before="20" w:after="0"/>
        <w:ind w:left="357" w:hanging="357"/>
        <w:jc w:val="both"/>
      </w:pPr>
      <w:r>
        <w:rPr>
          <w:rFonts w:ascii="Times New Roman" w:hAnsi="Times New Roman" w:eastAsia="宋体"/>
          <w:b w:val="0"/>
          <w:i w:val="0"/>
          <w:color w:val="000000"/>
          <w:sz w:val="21"/>
        </w:rPr>
        <w:t>a) ensuring that the quality policy and quality objectives are established and are compatible with the strategic direction of the organization;</w:t>
      </w:r>
    </w:p>
    <w:p w14:paraId="1A3C8347">
      <w:pPr>
        <w:spacing w:before="0" w:after="60"/>
        <w:ind w:left="357" w:hanging="357"/>
        <w:jc w:val="both"/>
      </w:pPr>
      <w:r>
        <w:rPr>
          <w:rFonts w:ascii="Times New Roman" w:hAnsi="Times New Roman" w:eastAsia="宋体"/>
          <w:b w:val="0"/>
          <w:i w:val="0"/>
          <w:color w:val="000000"/>
          <w:sz w:val="21"/>
        </w:rPr>
        <w:t>a) 确保制定质量方针和质量目标，并与组织的战略方向保持一致；</w:t>
      </w:r>
    </w:p>
    <w:p w14:paraId="32A1C656">
      <w:pPr>
        <w:keepNext/>
        <w:spacing w:before="20" w:after="0"/>
        <w:ind w:left="357" w:hanging="357"/>
        <w:jc w:val="both"/>
      </w:pPr>
      <w:r>
        <w:rPr>
          <w:rFonts w:ascii="Times New Roman" w:hAnsi="Times New Roman" w:eastAsia="宋体"/>
          <w:b w:val="0"/>
          <w:i w:val="0"/>
          <w:color w:val="000000"/>
          <w:sz w:val="21"/>
        </w:rPr>
        <w:t>b) ensuring the integration of the quality management system requirements into the organization's business processes;</w:t>
      </w:r>
    </w:p>
    <w:p w14:paraId="76F2AE74">
      <w:pPr>
        <w:spacing w:before="0" w:after="60"/>
        <w:ind w:left="357" w:hanging="357"/>
        <w:jc w:val="both"/>
      </w:pPr>
      <w:r>
        <w:rPr>
          <w:rFonts w:ascii="Times New Roman" w:hAnsi="Times New Roman" w:eastAsia="宋体"/>
          <w:b w:val="0"/>
          <w:i w:val="0"/>
          <w:color w:val="000000"/>
          <w:sz w:val="21"/>
        </w:rPr>
        <w:t>b) 确保将质量管理体系要求融入组织的业务过程；</w:t>
      </w:r>
    </w:p>
    <w:p w14:paraId="5D3A7624">
      <w:pPr>
        <w:keepNext/>
        <w:spacing w:before="20" w:after="0"/>
        <w:ind w:left="357" w:hanging="357"/>
        <w:jc w:val="both"/>
      </w:pPr>
      <w:r>
        <w:rPr>
          <w:rFonts w:ascii="Times New Roman" w:hAnsi="Times New Roman" w:eastAsia="宋体"/>
          <w:b w:val="0"/>
          <w:i w:val="0"/>
          <w:color w:val="000000"/>
          <w:sz w:val="21"/>
        </w:rPr>
        <w:t>c) ensuring that the resources needed for the quality management system are available;</w:t>
      </w:r>
    </w:p>
    <w:p w14:paraId="7B96A39A">
      <w:pPr>
        <w:spacing w:before="0" w:after="60"/>
        <w:ind w:left="357" w:hanging="357"/>
        <w:jc w:val="both"/>
      </w:pPr>
      <w:r>
        <w:rPr>
          <w:rFonts w:ascii="Times New Roman" w:hAnsi="Times New Roman" w:eastAsia="宋体"/>
          <w:b w:val="0"/>
          <w:i w:val="0"/>
          <w:color w:val="000000"/>
          <w:sz w:val="21"/>
        </w:rPr>
        <w:t>c) 确保质量管理体系所需的资源可获得；</w:t>
      </w:r>
    </w:p>
    <w:p w14:paraId="10FB6CEF">
      <w:pPr>
        <w:keepNext/>
        <w:spacing w:before="20" w:after="0"/>
        <w:ind w:left="357" w:hanging="357"/>
        <w:jc w:val="both"/>
      </w:pPr>
      <w:r>
        <w:rPr>
          <w:rFonts w:ascii="Times New Roman" w:hAnsi="Times New Roman" w:eastAsia="宋体"/>
          <w:b w:val="0"/>
          <w:i w:val="0"/>
          <w:color w:val="000000"/>
          <w:sz w:val="21"/>
        </w:rPr>
        <w:t>d) communicating the importance of effective quality management and of conforming to the quality management system requirements;</w:t>
      </w:r>
    </w:p>
    <w:p w14:paraId="14FD34FA">
      <w:pPr>
        <w:spacing w:before="0" w:after="60"/>
        <w:ind w:left="357" w:hanging="357"/>
        <w:jc w:val="both"/>
      </w:pPr>
      <w:r>
        <w:rPr>
          <w:rFonts w:ascii="Times New Roman" w:hAnsi="Times New Roman" w:eastAsia="宋体"/>
          <w:b w:val="0"/>
          <w:i w:val="0"/>
          <w:color w:val="000000"/>
          <w:sz w:val="21"/>
        </w:rPr>
        <w:t>d) 就有效质量管理的重要性以及符合质量管理体系要求的重要性进行沟通；</w:t>
      </w:r>
    </w:p>
    <w:p w14:paraId="63A41615">
      <w:pPr>
        <w:keepNext/>
        <w:spacing w:before="20" w:after="0"/>
        <w:ind w:left="357" w:hanging="357"/>
        <w:jc w:val="both"/>
      </w:pPr>
      <w:r>
        <w:rPr>
          <w:rFonts w:ascii="Times New Roman" w:hAnsi="Times New Roman" w:eastAsia="宋体"/>
          <w:b w:val="0"/>
          <w:i w:val="0"/>
          <w:color w:val="000000"/>
          <w:sz w:val="21"/>
        </w:rPr>
        <w:t>e) ensuring that the quality management system achieves its intended result(s);</w:t>
      </w:r>
    </w:p>
    <w:p w14:paraId="5582EDB5">
      <w:pPr>
        <w:spacing w:before="0" w:after="60"/>
        <w:ind w:left="357" w:hanging="357"/>
        <w:jc w:val="both"/>
      </w:pPr>
      <w:r>
        <w:rPr>
          <w:rFonts w:ascii="Times New Roman" w:hAnsi="Times New Roman" w:eastAsia="宋体"/>
          <w:b w:val="0"/>
          <w:i w:val="0"/>
          <w:color w:val="000000"/>
          <w:sz w:val="21"/>
        </w:rPr>
        <w:t>e) 确保质量管理体系实现其预期结果；</w:t>
      </w:r>
    </w:p>
    <w:p w14:paraId="76A8A7A5">
      <w:pPr>
        <w:keepNext/>
        <w:spacing w:before="20" w:after="0"/>
        <w:ind w:left="357" w:hanging="357"/>
        <w:jc w:val="both"/>
      </w:pPr>
      <w:r>
        <w:rPr>
          <w:rFonts w:ascii="Times New Roman" w:hAnsi="Times New Roman" w:eastAsia="宋体"/>
          <w:b w:val="0"/>
          <w:i w:val="0"/>
          <w:color w:val="000000"/>
          <w:sz w:val="21"/>
        </w:rPr>
        <w:t>f) directing and supporting persons to contribute to the effectiveness of the quality management system;</w:t>
      </w:r>
    </w:p>
    <w:p w14:paraId="60939404">
      <w:pPr>
        <w:spacing w:before="0" w:after="60"/>
        <w:ind w:left="357" w:hanging="357"/>
        <w:jc w:val="both"/>
      </w:pPr>
      <w:r>
        <w:rPr>
          <w:rFonts w:ascii="Times New Roman" w:hAnsi="Times New Roman" w:eastAsia="宋体"/>
          <w:b w:val="0"/>
          <w:i w:val="0"/>
          <w:color w:val="000000"/>
          <w:sz w:val="21"/>
        </w:rPr>
        <w:t>f) 指导和支持人员为质量管理体系的有效性作出贡献；</w:t>
      </w:r>
    </w:p>
    <w:p w14:paraId="556E8F62">
      <w:pPr>
        <w:keepNext/>
        <w:spacing w:before="20" w:after="0"/>
        <w:ind w:left="357" w:hanging="357"/>
        <w:jc w:val="both"/>
      </w:pPr>
      <w:r>
        <w:rPr>
          <w:rFonts w:ascii="Times New Roman" w:hAnsi="Times New Roman" w:eastAsia="宋体"/>
          <w:b w:val="0"/>
          <w:i w:val="0"/>
          <w:color w:val="000000"/>
          <w:sz w:val="21"/>
        </w:rPr>
        <w:t>g) promoting continual improvement;</w:t>
      </w:r>
    </w:p>
    <w:p w14:paraId="18C60422">
      <w:pPr>
        <w:spacing w:before="0" w:after="60"/>
        <w:ind w:left="357" w:hanging="357"/>
        <w:jc w:val="both"/>
      </w:pPr>
      <w:r>
        <w:rPr>
          <w:rFonts w:ascii="Times New Roman" w:hAnsi="Times New Roman" w:eastAsia="宋体"/>
          <w:b w:val="0"/>
          <w:i w:val="0"/>
          <w:color w:val="000000"/>
          <w:sz w:val="21"/>
        </w:rPr>
        <w:t>g) 促进持续改进；</w:t>
      </w:r>
    </w:p>
    <w:p w14:paraId="6A137F11">
      <w:pPr>
        <w:keepNext/>
        <w:spacing w:before="20" w:after="0"/>
        <w:ind w:left="357" w:hanging="357"/>
        <w:jc w:val="both"/>
      </w:pPr>
      <w:r>
        <w:rPr>
          <w:rFonts w:ascii="Times New Roman" w:hAnsi="Times New Roman" w:eastAsia="宋体"/>
          <w:b w:val="0"/>
          <w:i w:val="0"/>
          <w:color w:val="000000"/>
          <w:sz w:val="21"/>
        </w:rPr>
        <w:t>h) supporting other relevant roles to demonstrate their leadership, as it applies to their areas of responsibility;</w:t>
      </w:r>
    </w:p>
    <w:p w14:paraId="386CD14D">
      <w:pPr>
        <w:spacing w:before="0" w:after="60"/>
        <w:ind w:left="357" w:hanging="357"/>
        <w:jc w:val="both"/>
      </w:pPr>
      <w:r>
        <w:rPr>
          <w:rFonts w:ascii="Times New Roman" w:hAnsi="Times New Roman" w:eastAsia="宋体"/>
          <w:b w:val="0"/>
          <w:i w:val="0"/>
          <w:color w:val="000000"/>
          <w:sz w:val="21"/>
        </w:rPr>
        <w:t>h) 支持其他相关角色在其职责范围内发挥领导作用；</w:t>
      </w:r>
    </w:p>
    <w:p w14:paraId="190D2C03">
      <w:pPr>
        <w:keepNext/>
        <w:spacing w:before="20" w:after="0"/>
        <w:ind w:left="357" w:hanging="357"/>
        <w:jc w:val="both"/>
      </w:pPr>
      <w:r>
        <w:rPr>
          <w:rFonts w:ascii="Times New Roman" w:hAnsi="Times New Roman" w:eastAsia="宋体"/>
          <w:b w:val="0"/>
          <w:i w:val="0"/>
          <w:color w:val="000000"/>
          <w:sz w:val="21"/>
        </w:rPr>
        <w:t>i) promoting quality culture and ethical behaviour;</w:t>
      </w:r>
    </w:p>
    <w:p w14:paraId="7FF80167">
      <w:pPr>
        <w:spacing w:before="0" w:after="60"/>
        <w:ind w:left="357" w:hanging="357"/>
        <w:jc w:val="both"/>
      </w:pPr>
      <w:r>
        <w:rPr>
          <w:rFonts w:ascii="Times New Roman" w:hAnsi="Times New Roman" w:eastAsia="宋体"/>
          <w:b w:val="0"/>
          <w:i w:val="0"/>
          <w:color w:val="000000"/>
          <w:sz w:val="21"/>
        </w:rPr>
        <w:t>i) 推行质量文化和道德行为；</w:t>
      </w:r>
    </w:p>
    <w:p w14:paraId="517A1BAD">
      <w:pPr>
        <w:keepNext/>
        <w:spacing w:before="20" w:after="0"/>
        <w:ind w:left="357" w:hanging="357"/>
        <w:jc w:val="both"/>
      </w:pPr>
      <w:r>
        <w:rPr>
          <w:rFonts w:ascii="Times New Roman" w:hAnsi="Times New Roman" w:eastAsia="宋体"/>
          <w:b w:val="0"/>
          <w:i w:val="0"/>
          <w:color w:val="000000"/>
          <w:sz w:val="21"/>
        </w:rPr>
        <w:t>j) promoting the use of the process approach;</w:t>
      </w:r>
    </w:p>
    <w:p w14:paraId="41E08277">
      <w:pPr>
        <w:spacing w:before="0" w:after="60"/>
        <w:ind w:left="357" w:hanging="357"/>
        <w:jc w:val="both"/>
      </w:pPr>
      <w:r>
        <w:rPr>
          <w:rFonts w:ascii="Times New Roman" w:hAnsi="Times New Roman" w:eastAsia="宋体"/>
          <w:b w:val="0"/>
          <w:i w:val="0"/>
          <w:color w:val="000000"/>
          <w:sz w:val="21"/>
        </w:rPr>
        <w:t>j) 推行过程方法的应用；</w:t>
      </w:r>
    </w:p>
    <w:p w14:paraId="3340A418">
      <w:pPr>
        <w:keepNext/>
        <w:spacing w:before="20" w:after="0"/>
        <w:ind w:left="357" w:hanging="357"/>
        <w:jc w:val="both"/>
      </w:pPr>
      <w:r>
        <w:rPr>
          <w:rFonts w:ascii="Times New Roman" w:hAnsi="Times New Roman" w:eastAsia="宋体"/>
          <w:b w:val="0"/>
          <w:i w:val="0"/>
          <w:color w:val="000000"/>
          <w:sz w:val="21"/>
        </w:rPr>
        <w:t>k) promoting risk-based thinking and opportunity-based thinking;</w:t>
      </w:r>
    </w:p>
    <w:p w14:paraId="176246BA">
      <w:pPr>
        <w:spacing w:before="0" w:after="60"/>
        <w:ind w:left="357" w:hanging="357"/>
        <w:jc w:val="both"/>
      </w:pPr>
      <w:r>
        <w:rPr>
          <w:rFonts w:ascii="Times New Roman" w:hAnsi="Times New Roman" w:eastAsia="宋体"/>
          <w:b w:val="0"/>
          <w:i w:val="0"/>
          <w:color w:val="000000"/>
          <w:sz w:val="21"/>
        </w:rPr>
        <w:t>k) 推行基于风险的思维和基于机遇的思维；</w:t>
      </w:r>
    </w:p>
    <w:p w14:paraId="42EF9CE4">
      <w:pPr>
        <w:keepNext/>
        <w:spacing w:before="20" w:after="0"/>
        <w:ind w:left="357" w:hanging="357"/>
        <w:jc w:val="both"/>
      </w:pPr>
      <w:r>
        <w:rPr>
          <w:rFonts w:ascii="Times New Roman" w:hAnsi="Times New Roman" w:eastAsia="宋体"/>
          <w:b w:val="0"/>
          <w:i w:val="0"/>
          <w:color w:val="000000"/>
          <w:sz w:val="21"/>
        </w:rPr>
        <w:t>l) taking accountability for the effectiveness of the quality management system.</w:t>
      </w:r>
    </w:p>
    <w:p w14:paraId="4AD8082F">
      <w:pPr>
        <w:spacing w:before="0" w:after="60"/>
        <w:ind w:left="357" w:hanging="357"/>
        <w:jc w:val="both"/>
      </w:pPr>
      <w:r>
        <w:rPr>
          <w:rFonts w:ascii="Times New Roman" w:hAnsi="Times New Roman" w:eastAsia="宋体"/>
          <w:b w:val="0"/>
          <w:i w:val="0"/>
          <w:color w:val="000000"/>
          <w:sz w:val="21"/>
        </w:rPr>
        <w:t>l) 对质量管理体系的有效性承担责任。</w:t>
      </w:r>
    </w:p>
    <w:p w14:paraId="51ED996E">
      <w:pPr>
        <w:keepNext/>
        <w:spacing w:before="20" w:after="0"/>
        <w:ind w:left="227"/>
        <w:jc w:val="both"/>
      </w:pPr>
      <w:r>
        <w:rPr>
          <w:rFonts w:ascii="Times New Roman" w:hAnsi="Times New Roman" w:eastAsia="宋体"/>
          <w:b w:val="0"/>
          <w:i/>
          <w:color w:val="000000"/>
          <w:sz w:val="20"/>
        </w:rPr>
        <w:t>NOTE 1 — Reference to “business” in this document can be interpreted broadly to mean those activities that are core to the purposes of the organization's existence.</w:t>
      </w:r>
    </w:p>
    <w:p w14:paraId="7C3039D8">
      <w:pPr>
        <w:spacing w:before="0" w:after="100"/>
        <w:ind w:left="227"/>
        <w:jc w:val="both"/>
      </w:pPr>
      <w:r>
        <w:rPr>
          <w:rFonts w:ascii="Times New Roman" w:hAnsi="Times New Roman" w:eastAsia="宋体"/>
          <w:b w:val="0"/>
          <w:i w:val="0"/>
          <w:color w:val="000000"/>
          <w:sz w:val="20"/>
        </w:rPr>
        <w:t>注1：本文件中提及的“业务”可广义地理解为组织存在宗旨所涉及的核心活动。</w:t>
      </w:r>
    </w:p>
    <w:p w14:paraId="72F1A63C">
      <w:pPr>
        <w:keepNext/>
        <w:spacing w:before="20" w:after="0"/>
        <w:ind w:left="227"/>
        <w:jc w:val="both"/>
      </w:pPr>
      <w:r>
        <w:rPr>
          <w:rFonts w:ascii="Times New Roman" w:hAnsi="Times New Roman" w:eastAsia="宋体"/>
          <w:b w:val="0"/>
          <w:i/>
          <w:color w:val="000000"/>
          <w:sz w:val="20"/>
        </w:rPr>
        <w:t>NOTE 2 — An organization's quality culture and ethical behaviour are reflected in its shared values, attitudes, practices and actions.</w:t>
      </w:r>
    </w:p>
    <w:p w14:paraId="78669901">
      <w:pPr>
        <w:spacing w:before="0" w:after="100"/>
        <w:ind w:left="227"/>
        <w:jc w:val="both"/>
      </w:pPr>
      <w:r>
        <w:rPr>
          <w:rFonts w:ascii="Times New Roman" w:hAnsi="Times New Roman" w:eastAsia="宋体"/>
          <w:b w:val="0"/>
          <w:i w:val="0"/>
          <w:color w:val="000000"/>
          <w:sz w:val="20"/>
        </w:rPr>
        <w:t>注2：组织的质量文化和道德行为体现在其共同的价值观、态度、实践（惯例）和行动中。</w:t>
      </w:r>
    </w:p>
    <w:p w14:paraId="35A28A11">
      <w:pPr>
        <w:keepNext/>
        <w:spacing w:before="200" w:after="0"/>
        <w:jc w:val="left"/>
      </w:pPr>
      <w:r>
        <w:rPr>
          <w:rFonts w:ascii="Times New Roman" w:hAnsi="Times New Roman" w:eastAsia="宋体"/>
          <w:b/>
          <w:i w:val="0"/>
          <w:color w:val="000000"/>
          <w:sz w:val="22"/>
        </w:rPr>
        <w:t>5.1.2  Customer focus</w:t>
      </w:r>
    </w:p>
    <w:p w14:paraId="73EB7B29">
      <w:pPr>
        <w:spacing w:before="0" w:after="80"/>
        <w:jc w:val="left"/>
      </w:pPr>
      <w:r>
        <w:rPr>
          <w:rFonts w:ascii="Times New Roman" w:hAnsi="Times New Roman" w:eastAsia="黑体"/>
          <w:b w:val="0"/>
          <w:i w:val="0"/>
          <w:color w:val="000000"/>
          <w:sz w:val="22"/>
        </w:rPr>
        <w:t>5.1.2  以顾客为关注焦点</w:t>
      </w:r>
    </w:p>
    <w:p w14:paraId="2B4401A9">
      <w:pPr>
        <w:keepNext/>
        <w:spacing w:before="60" w:after="0"/>
        <w:jc w:val="both"/>
      </w:pPr>
      <w:r>
        <w:rPr>
          <w:rFonts w:ascii="Times New Roman" w:hAnsi="Times New Roman" w:eastAsia="宋体"/>
          <w:b w:val="0"/>
          <w:i w:val="0"/>
          <w:color w:val="000000"/>
          <w:sz w:val="21"/>
        </w:rPr>
        <w:t>Top management shall demonstrate leadership and commitment with respect to customer focus by ensuring that:</w:t>
      </w:r>
    </w:p>
    <w:p w14:paraId="4B47EB7F">
      <w:pPr>
        <w:spacing w:before="0" w:after="100"/>
        <w:jc w:val="both"/>
      </w:pPr>
      <w:r>
        <w:rPr>
          <w:rFonts w:ascii="Times New Roman" w:hAnsi="Times New Roman" w:eastAsia="宋体"/>
          <w:b w:val="0"/>
          <w:i w:val="0"/>
          <w:color w:val="000000"/>
          <w:sz w:val="21"/>
        </w:rPr>
        <w:t>最高管理者应通过确保以下方面，证实其对以顾客为关注焦点的领导作用和承诺：</w:t>
      </w:r>
    </w:p>
    <w:p w14:paraId="17E89E56">
      <w:pPr>
        <w:keepNext/>
        <w:spacing w:before="20" w:after="0"/>
        <w:ind w:left="357" w:hanging="357"/>
        <w:jc w:val="both"/>
      </w:pPr>
      <w:r>
        <w:rPr>
          <w:rFonts w:ascii="Times New Roman" w:hAnsi="Times New Roman" w:eastAsia="宋体"/>
          <w:b w:val="0"/>
          <w:i w:val="0"/>
          <w:color w:val="000000"/>
          <w:sz w:val="21"/>
        </w:rPr>
        <w:t>a) customer and applicable statutory and regulatory requirements are determined, understood and consistently met;</w:t>
      </w:r>
    </w:p>
    <w:p w14:paraId="55D7CA45">
      <w:pPr>
        <w:spacing w:before="0" w:after="60"/>
        <w:ind w:left="357" w:hanging="357"/>
        <w:jc w:val="both"/>
      </w:pPr>
      <w:r>
        <w:rPr>
          <w:rFonts w:ascii="Times New Roman" w:hAnsi="Times New Roman" w:eastAsia="宋体"/>
          <w:b w:val="0"/>
          <w:i w:val="0"/>
          <w:color w:val="000000"/>
          <w:sz w:val="21"/>
        </w:rPr>
        <w:t>a) 确定、理解并持续满足顾客要求以及适用的法律法规要求；</w:t>
      </w:r>
    </w:p>
    <w:p w14:paraId="191A23E9">
      <w:pPr>
        <w:keepNext/>
        <w:spacing w:before="20" w:after="0"/>
        <w:ind w:left="357" w:hanging="357"/>
        <w:jc w:val="both"/>
      </w:pPr>
      <w:r>
        <w:rPr>
          <w:rFonts w:ascii="Times New Roman" w:hAnsi="Times New Roman" w:eastAsia="宋体"/>
          <w:b w:val="0"/>
          <w:i w:val="0"/>
          <w:color w:val="000000"/>
          <w:sz w:val="21"/>
        </w:rPr>
        <w:t>b) the risks and opportunities that can affect conformity of products and services and the ability to enhance customer satisfaction are determined and addressed;</w:t>
      </w:r>
    </w:p>
    <w:p w14:paraId="16179462">
      <w:pPr>
        <w:spacing w:before="0" w:after="60"/>
        <w:ind w:left="357" w:hanging="357"/>
        <w:jc w:val="both"/>
      </w:pPr>
      <w:r>
        <w:rPr>
          <w:rFonts w:ascii="Times New Roman" w:hAnsi="Times New Roman" w:eastAsia="宋体"/>
          <w:b w:val="0"/>
          <w:i w:val="0"/>
          <w:color w:val="000000"/>
          <w:sz w:val="21"/>
        </w:rPr>
        <w:t>b) 确定并应对可能影响产品和服务合格以及增强顾客满意能力的风险和机遇；</w:t>
      </w:r>
    </w:p>
    <w:p w14:paraId="2775F9A3">
      <w:pPr>
        <w:keepNext/>
        <w:spacing w:before="20" w:after="0"/>
        <w:ind w:left="357" w:hanging="357"/>
        <w:jc w:val="both"/>
      </w:pPr>
      <w:r>
        <w:rPr>
          <w:rFonts w:ascii="Times New Roman" w:hAnsi="Times New Roman" w:eastAsia="宋体"/>
          <w:b w:val="0"/>
          <w:i w:val="0"/>
          <w:color w:val="000000"/>
          <w:sz w:val="21"/>
        </w:rPr>
        <w:t>c) the focus on enhancing customer satisfaction is maintained.</w:t>
      </w:r>
    </w:p>
    <w:p w14:paraId="54062F0D">
      <w:pPr>
        <w:spacing w:before="0" w:after="60"/>
        <w:ind w:left="357" w:hanging="357"/>
        <w:jc w:val="both"/>
      </w:pPr>
      <w:r>
        <w:rPr>
          <w:rFonts w:ascii="Times New Roman" w:hAnsi="Times New Roman" w:eastAsia="宋体"/>
          <w:b w:val="0"/>
          <w:i w:val="0"/>
          <w:color w:val="000000"/>
          <w:sz w:val="21"/>
        </w:rPr>
        <w:t>c) 始终保持关注增强顾客满意。</w:t>
      </w:r>
    </w:p>
    <w:p w14:paraId="5670DD1B">
      <w:pPr>
        <w:keepNext/>
        <w:spacing w:before="240" w:after="0"/>
        <w:jc w:val="left"/>
      </w:pPr>
      <w:r>
        <w:rPr>
          <w:rFonts w:ascii="Times New Roman" w:hAnsi="Times New Roman" w:eastAsia="宋体"/>
          <w:b/>
          <w:i w:val="0"/>
          <w:color w:val="000000"/>
          <w:sz w:val="24"/>
        </w:rPr>
        <w:t>5.2  Quality policy</w:t>
      </w:r>
    </w:p>
    <w:p w14:paraId="16C33F15">
      <w:pPr>
        <w:spacing w:before="0" w:after="80"/>
        <w:jc w:val="left"/>
      </w:pPr>
      <w:r>
        <w:rPr>
          <w:rFonts w:ascii="Times New Roman" w:hAnsi="Times New Roman" w:eastAsia="黑体"/>
          <w:b w:val="0"/>
          <w:i w:val="0"/>
          <w:color w:val="000000"/>
          <w:sz w:val="24"/>
        </w:rPr>
        <w:t>5.2  质量方针</w:t>
      </w:r>
    </w:p>
    <w:p w14:paraId="2DBC3EF7">
      <w:pPr>
        <w:keepNext/>
        <w:spacing w:before="60" w:after="0"/>
        <w:jc w:val="both"/>
      </w:pPr>
      <w:r>
        <w:rPr>
          <w:rFonts w:ascii="Times New Roman" w:hAnsi="Times New Roman" w:eastAsia="宋体"/>
          <w:b w:val="0"/>
          <w:i w:val="0"/>
          <w:color w:val="000000"/>
          <w:sz w:val="21"/>
        </w:rPr>
        <w:t>5.2.1　Top management shall establish a quality policy that:</w:t>
      </w:r>
    </w:p>
    <w:p w14:paraId="66A3F9AD">
      <w:pPr>
        <w:spacing w:before="0" w:after="100"/>
        <w:jc w:val="both"/>
      </w:pPr>
      <w:r>
        <w:rPr>
          <w:rFonts w:ascii="Times New Roman" w:hAnsi="Times New Roman" w:eastAsia="宋体"/>
          <w:b w:val="0"/>
          <w:i w:val="0"/>
          <w:color w:val="000000"/>
          <w:sz w:val="21"/>
        </w:rPr>
        <w:t>5.2.1　最高管理者应确立质量方针，质量方针应：</w:t>
      </w:r>
    </w:p>
    <w:p w14:paraId="2224726F">
      <w:pPr>
        <w:keepNext/>
        <w:spacing w:before="20" w:after="0"/>
        <w:ind w:left="357" w:hanging="357"/>
        <w:jc w:val="both"/>
      </w:pPr>
      <w:r>
        <w:rPr>
          <w:rFonts w:ascii="Times New Roman" w:hAnsi="Times New Roman" w:eastAsia="宋体"/>
          <w:b w:val="0"/>
          <w:i w:val="0"/>
          <w:color w:val="000000"/>
          <w:sz w:val="21"/>
        </w:rPr>
        <w:t>a) is appropriate to the purpose of the organization;</w:t>
      </w:r>
    </w:p>
    <w:p w14:paraId="00099E07">
      <w:pPr>
        <w:spacing w:before="0" w:after="60"/>
        <w:ind w:left="357" w:hanging="357"/>
        <w:jc w:val="both"/>
      </w:pPr>
      <w:r>
        <w:rPr>
          <w:rFonts w:ascii="Times New Roman" w:hAnsi="Times New Roman" w:eastAsia="宋体"/>
          <w:b w:val="0"/>
          <w:i w:val="0"/>
          <w:color w:val="000000"/>
          <w:sz w:val="21"/>
        </w:rPr>
        <w:t>a) 适合组织的宗旨；</w:t>
      </w:r>
    </w:p>
    <w:p w14:paraId="178AE2C8">
      <w:pPr>
        <w:keepNext/>
        <w:spacing w:before="20" w:after="0"/>
        <w:ind w:left="357" w:hanging="357"/>
        <w:jc w:val="both"/>
      </w:pPr>
      <w:r>
        <w:rPr>
          <w:rFonts w:ascii="Times New Roman" w:hAnsi="Times New Roman" w:eastAsia="宋体"/>
          <w:b w:val="0"/>
          <w:i w:val="0"/>
          <w:color w:val="000000"/>
          <w:sz w:val="21"/>
        </w:rPr>
        <w:t>b) provides a framework for setting quality objectives;</w:t>
      </w:r>
    </w:p>
    <w:p w14:paraId="71BAF747">
      <w:pPr>
        <w:spacing w:before="0" w:after="60"/>
        <w:ind w:left="357" w:hanging="357"/>
        <w:jc w:val="both"/>
      </w:pPr>
      <w:r>
        <w:rPr>
          <w:rFonts w:ascii="Times New Roman" w:hAnsi="Times New Roman" w:eastAsia="宋体"/>
          <w:b w:val="0"/>
          <w:i w:val="0"/>
          <w:color w:val="000000"/>
          <w:sz w:val="21"/>
        </w:rPr>
        <w:t>b) 为制定质量目标提供框架；</w:t>
      </w:r>
    </w:p>
    <w:p w14:paraId="071C44D1">
      <w:pPr>
        <w:keepNext/>
        <w:spacing w:before="20" w:after="0"/>
        <w:ind w:left="357" w:hanging="357"/>
        <w:jc w:val="both"/>
      </w:pPr>
      <w:r>
        <w:rPr>
          <w:rFonts w:ascii="Times New Roman" w:hAnsi="Times New Roman" w:eastAsia="宋体"/>
          <w:b w:val="0"/>
          <w:i w:val="0"/>
          <w:color w:val="000000"/>
          <w:sz w:val="21"/>
        </w:rPr>
        <w:t>c) includes a commitment to meet applicable requirements;</w:t>
      </w:r>
    </w:p>
    <w:p w14:paraId="16ED581E">
      <w:pPr>
        <w:spacing w:before="0" w:after="60"/>
        <w:ind w:left="357" w:hanging="357"/>
        <w:jc w:val="both"/>
      </w:pPr>
      <w:r>
        <w:rPr>
          <w:rFonts w:ascii="Times New Roman" w:hAnsi="Times New Roman" w:eastAsia="宋体"/>
          <w:b w:val="0"/>
          <w:i w:val="0"/>
          <w:color w:val="000000"/>
          <w:sz w:val="21"/>
        </w:rPr>
        <w:t>c) 包括满足适用要求的承诺；</w:t>
      </w:r>
    </w:p>
    <w:p w14:paraId="16206512">
      <w:pPr>
        <w:keepNext/>
        <w:spacing w:before="20" w:after="0"/>
        <w:ind w:left="357" w:hanging="357"/>
        <w:jc w:val="both"/>
      </w:pPr>
      <w:r>
        <w:rPr>
          <w:rFonts w:ascii="Times New Roman" w:hAnsi="Times New Roman" w:eastAsia="宋体"/>
          <w:b w:val="0"/>
          <w:i w:val="0"/>
          <w:color w:val="000000"/>
          <w:sz w:val="21"/>
        </w:rPr>
        <w:t>d) includes a commitment to continual improvement of the quality management system;</w:t>
      </w:r>
    </w:p>
    <w:p w14:paraId="7D39B9BC">
      <w:pPr>
        <w:spacing w:before="0" w:after="60"/>
        <w:ind w:left="357" w:hanging="357"/>
        <w:jc w:val="both"/>
      </w:pPr>
      <w:r>
        <w:rPr>
          <w:rFonts w:ascii="Times New Roman" w:hAnsi="Times New Roman" w:eastAsia="宋体"/>
          <w:b w:val="0"/>
          <w:i w:val="0"/>
          <w:color w:val="000000"/>
          <w:sz w:val="21"/>
        </w:rPr>
        <w:t>d) 包括持续改进质量管理体系的承诺；</w:t>
      </w:r>
    </w:p>
    <w:p w14:paraId="518C1890">
      <w:pPr>
        <w:keepNext/>
        <w:spacing w:before="20" w:after="0"/>
        <w:ind w:left="357" w:hanging="357"/>
        <w:jc w:val="both"/>
      </w:pPr>
      <w:r>
        <w:rPr>
          <w:rFonts w:ascii="Times New Roman" w:hAnsi="Times New Roman" w:eastAsia="宋体"/>
          <w:b w:val="0"/>
          <w:i w:val="0"/>
          <w:color w:val="000000"/>
          <w:sz w:val="21"/>
        </w:rPr>
        <w:t>e) takes into account the context of the organization and supports its strategic direction.</w:t>
      </w:r>
    </w:p>
    <w:p w14:paraId="0D7CED86">
      <w:pPr>
        <w:spacing w:before="0" w:after="60"/>
        <w:ind w:left="357" w:hanging="357"/>
        <w:jc w:val="both"/>
      </w:pPr>
      <w:r>
        <w:rPr>
          <w:rFonts w:ascii="Times New Roman" w:hAnsi="Times New Roman" w:eastAsia="宋体"/>
          <w:b w:val="0"/>
          <w:i w:val="0"/>
          <w:color w:val="000000"/>
          <w:sz w:val="21"/>
        </w:rPr>
        <w:t>e) 考虑组织的环境并支持其战略方向。</w:t>
      </w:r>
    </w:p>
    <w:p w14:paraId="3288B008">
      <w:pPr>
        <w:keepNext/>
        <w:spacing w:before="60" w:after="0"/>
        <w:jc w:val="both"/>
      </w:pPr>
      <w:r>
        <w:rPr>
          <w:rFonts w:ascii="Times New Roman" w:hAnsi="Times New Roman" w:eastAsia="宋体"/>
          <w:b w:val="0"/>
          <w:i w:val="0"/>
          <w:color w:val="000000"/>
          <w:sz w:val="21"/>
        </w:rPr>
        <w:t>5.2.2　The quality policy shall:</w:t>
      </w:r>
    </w:p>
    <w:p w14:paraId="11340E2C">
      <w:pPr>
        <w:spacing w:before="0" w:after="100"/>
        <w:jc w:val="both"/>
      </w:pPr>
      <w:r>
        <w:rPr>
          <w:rFonts w:ascii="Times New Roman" w:hAnsi="Times New Roman" w:eastAsia="宋体"/>
          <w:b w:val="0"/>
          <w:i w:val="0"/>
          <w:color w:val="000000"/>
          <w:sz w:val="21"/>
        </w:rPr>
        <w:t>5.2.2　质量方针应：</w:t>
      </w:r>
    </w:p>
    <w:p w14:paraId="11FCC25F">
      <w:pPr>
        <w:keepNext/>
        <w:spacing w:before="20" w:after="0"/>
        <w:ind w:left="357" w:hanging="357"/>
        <w:jc w:val="both"/>
      </w:pPr>
      <w:r>
        <w:rPr>
          <w:rFonts w:ascii="Times New Roman" w:hAnsi="Times New Roman" w:eastAsia="宋体"/>
          <w:b w:val="0"/>
          <w:i w:val="0"/>
          <w:color w:val="000000"/>
          <w:sz w:val="21"/>
        </w:rPr>
        <w:t>a) be available as documented information;</w:t>
      </w:r>
    </w:p>
    <w:p w14:paraId="3F92EAA4">
      <w:pPr>
        <w:spacing w:before="0" w:after="60"/>
        <w:ind w:left="357" w:hanging="357"/>
        <w:jc w:val="both"/>
      </w:pPr>
      <w:r>
        <w:rPr>
          <w:rFonts w:ascii="Times New Roman" w:hAnsi="Times New Roman" w:eastAsia="宋体"/>
          <w:b w:val="0"/>
          <w:i w:val="0"/>
          <w:color w:val="000000"/>
          <w:sz w:val="21"/>
        </w:rPr>
        <w:t>a) 作为成文信息可获得；</w:t>
      </w:r>
    </w:p>
    <w:p w14:paraId="68CCF051">
      <w:pPr>
        <w:keepNext/>
        <w:spacing w:before="20" w:after="0"/>
        <w:ind w:left="357" w:hanging="357"/>
        <w:jc w:val="both"/>
      </w:pPr>
      <w:r>
        <w:rPr>
          <w:rFonts w:ascii="Times New Roman" w:hAnsi="Times New Roman" w:eastAsia="宋体"/>
          <w:b w:val="0"/>
          <w:i w:val="0"/>
          <w:color w:val="000000"/>
          <w:sz w:val="21"/>
        </w:rPr>
        <w:t>b) be communicated within the organization;</w:t>
      </w:r>
    </w:p>
    <w:p w14:paraId="3C17B828">
      <w:pPr>
        <w:spacing w:before="0" w:after="60"/>
        <w:ind w:left="357" w:hanging="357"/>
        <w:jc w:val="both"/>
      </w:pPr>
      <w:r>
        <w:rPr>
          <w:rFonts w:ascii="Times New Roman" w:hAnsi="Times New Roman" w:eastAsia="宋体"/>
          <w:b w:val="0"/>
          <w:i w:val="0"/>
          <w:color w:val="000000"/>
          <w:sz w:val="21"/>
        </w:rPr>
        <w:t>b) 在组织内进行沟通；</w:t>
      </w:r>
    </w:p>
    <w:p w14:paraId="557BB176">
      <w:pPr>
        <w:keepNext/>
        <w:spacing w:before="20" w:after="0"/>
        <w:ind w:left="357" w:hanging="357"/>
        <w:jc w:val="both"/>
      </w:pPr>
      <w:r>
        <w:rPr>
          <w:rFonts w:ascii="Times New Roman" w:hAnsi="Times New Roman" w:eastAsia="宋体"/>
          <w:b w:val="0"/>
          <w:i w:val="0"/>
          <w:color w:val="000000"/>
          <w:sz w:val="21"/>
        </w:rPr>
        <w:t>c) be available to interested parties, as appropriate;</w:t>
      </w:r>
    </w:p>
    <w:p w14:paraId="20145D89">
      <w:pPr>
        <w:spacing w:before="0" w:after="60"/>
        <w:ind w:left="357" w:hanging="357"/>
        <w:jc w:val="both"/>
      </w:pPr>
      <w:r>
        <w:rPr>
          <w:rFonts w:ascii="Times New Roman" w:hAnsi="Times New Roman" w:eastAsia="宋体"/>
          <w:b w:val="0"/>
          <w:i w:val="0"/>
          <w:color w:val="000000"/>
          <w:sz w:val="21"/>
        </w:rPr>
        <w:t>c) 适用时，可为相关方所获取；</w:t>
      </w:r>
    </w:p>
    <w:p w14:paraId="493B9375">
      <w:pPr>
        <w:keepNext/>
        <w:spacing w:before="20" w:after="0"/>
        <w:ind w:left="357" w:hanging="357"/>
        <w:jc w:val="both"/>
      </w:pPr>
      <w:r>
        <w:rPr>
          <w:rFonts w:ascii="Times New Roman" w:hAnsi="Times New Roman" w:eastAsia="宋体"/>
          <w:b w:val="0"/>
          <w:i w:val="0"/>
          <w:color w:val="000000"/>
          <w:sz w:val="21"/>
        </w:rPr>
        <w:t>d) be implemented, understood and applied within the organization.</w:t>
      </w:r>
    </w:p>
    <w:p w14:paraId="4BD3BC70">
      <w:pPr>
        <w:spacing w:before="0" w:after="60"/>
        <w:ind w:left="357" w:hanging="357"/>
        <w:jc w:val="both"/>
      </w:pPr>
      <w:r>
        <w:rPr>
          <w:rFonts w:ascii="Times New Roman" w:hAnsi="Times New Roman" w:eastAsia="宋体"/>
          <w:b w:val="0"/>
          <w:i w:val="0"/>
          <w:color w:val="000000"/>
          <w:sz w:val="21"/>
        </w:rPr>
        <w:t>d) 在组织内得到实施、理解和应用。</w:t>
      </w:r>
    </w:p>
    <w:p w14:paraId="709DA362">
      <w:pPr>
        <w:keepNext/>
        <w:spacing w:before="240" w:after="0"/>
        <w:jc w:val="left"/>
      </w:pPr>
      <w:r>
        <w:rPr>
          <w:rFonts w:ascii="Times New Roman" w:hAnsi="Times New Roman" w:eastAsia="宋体"/>
          <w:b/>
          <w:i w:val="0"/>
          <w:color w:val="000000"/>
          <w:sz w:val="24"/>
        </w:rPr>
        <w:t>5.3  Roles, responsibilities and authorities</w:t>
      </w:r>
    </w:p>
    <w:p w14:paraId="4DC1FDEC">
      <w:pPr>
        <w:spacing w:before="0" w:after="80"/>
        <w:jc w:val="left"/>
      </w:pPr>
      <w:r>
        <w:rPr>
          <w:rFonts w:ascii="Times New Roman" w:hAnsi="Times New Roman" w:eastAsia="黑体"/>
          <w:b w:val="0"/>
          <w:i w:val="0"/>
          <w:color w:val="000000"/>
          <w:sz w:val="24"/>
        </w:rPr>
        <w:t>5.3  岗位、职责和权限</w:t>
      </w:r>
    </w:p>
    <w:p w14:paraId="6ABC491E">
      <w:pPr>
        <w:keepNext/>
        <w:spacing w:before="60" w:after="0"/>
        <w:jc w:val="both"/>
      </w:pPr>
      <w:r>
        <w:rPr>
          <w:rFonts w:ascii="Times New Roman" w:hAnsi="Times New Roman" w:eastAsia="宋体"/>
          <w:b w:val="0"/>
          <w:i w:val="0"/>
          <w:color w:val="000000"/>
          <w:sz w:val="21"/>
        </w:rPr>
        <w:t>Top management shall ensure that the responsibilities and authorities for relevant roles are assigned and communicated within the organization.</w:t>
      </w:r>
    </w:p>
    <w:p w14:paraId="1A362FB9">
      <w:pPr>
        <w:spacing w:before="0" w:after="100"/>
        <w:jc w:val="both"/>
      </w:pPr>
      <w:r>
        <w:rPr>
          <w:rFonts w:ascii="Times New Roman" w:hAnsi="Times New Roman" w:eastAsia="宋体"/>
          <w:b w:val="0"/>
          <w:i w:val="0"/>
          <w:color w:val="000000"/>
          <w:sz w:val="21"/>
        </w:rPr>
        <w:t>最高管理者应确保相关角色的职责和权限在组织内得到分配和沟通。</w:t>
      </w:r>
    </w:p>
    <w:p w14:paraId="79270E1F">
      <w:pPr>
        <w:keepNext/>
        <w:spacing w:before="60" w:after="0"/>
        <w:jc w:val="both"/>
      </w:pPr>
      <w:r>
        <w:rPr>
          <w:rFonts w:ascii="Times New Roman" w:hAnsi="Times New Roman" w:eastAsia="宋体"/>
          <w:b w:val="0"/>
          <w:i w:val="0"/>
          <w:color w:val="000000"/>
          <w:sz w:val="21"/>
        </w:rPr>
        <w:t>Top management shall assign the responsibility and authority for:</w:t>
      </w:r>
    </w:p>
    <w:p w14:paraId="0724E8A7">
      <w:pPr>
        <w:spacing w:before="0" w:after="100"/>
        <w:jc w:val="both"/>
      </w:pPr>
      <w:r>
        <w:rPr>
          <w:rFonts w:ascii="Times New Roman" w:hAnsi="Times New Roman" w:eastAsia="宋体"/>
          <w:b w:val="0"/>
          <w:i w:val="0"/>
          <w:color w:val="000000"/>
          <w:sz w:val="21"/>
        </w:rPr>
        <w:t>最高管理者应对下列事项分配职责和权限：</w:t>
      </w:r>
    </w:p>
    <w:p w14:paraId="71C0CC08">
      <w:pPr>
        <w:keepNext/>
        <w:spacing w:before="20" w:after="0"/>
        <w:ind w:left="357" w:hanging="357"/>
        <w:jc w:val="both"/>
      </w:pPr>
      <w:r>
        <w:rPr>
          <w:rFonts w:ascii="Times New Roman" w:hAnsi="Times New Roman" w:eastAsia="宋体"/>
          <w:b w:val="0"/>
          <w:i w:val="0"/>
          <w:color w:val="000000"/>
          <w:sz w:val="21"/>
        </w:rPr>
        <w:t>a) ensuring that the quality management system conforms to the requirements of this document;</w:t>
      </w:r>
    </w:p>
    <w:p w14:paraId="01073F34">
      <w:pPr>
        <w:spacing w:before="0" w:after="60"/>
        <w:ind w:left="357" w:hanging="357"/>
        <w:jc w:val="both"/>
      </w:pPr>
      <w:r>
        <w:rPr>
          <w:rFonts w:ascii="Times New Roman" w:hAnsi="Times New Roman" w:eastAsia="宋体"/>
          <w:b w:val="0"/>
          <w:i w:val="0"/>
          <w:color w:val="000000"/>
          <w:sz w:val="21"/>
        </w:rPr>
        <w:t>a) 确保质量管理体系符合本文件的要求；</w:t>
      </w:r>
    </w:p>
    <w:p w14:paraId="0241C789">
      <w:pPr>
        <w:keepNext/>
        <w:spacing w:before="20" w:after="0"/>
        <w:ind w:left="357" w:hanging="357"/>
        <w:jc w:val="both"/>
      </w:pPr>
      <w:r>
        <w:rPr>
          <w:rFonts w:ascii="Times New Roman" w:hAnsi="Times New Roman" w:eastAsia="宋体"/>
          <w:b w:val="0"/>
          <w:i w:val="0"/>
          <w:color w:val="000000"/>
          <w:sz w:val="21"/>
        </w:rPr>
        <w:t>b) reporting on the performance of the quality management system to top management;</w:t>
      </w:r>
    </w:p>
    <w:p w14:paraId="3FB62373">
      <w:pPr>
        <w:spacing w:before="0" w:after="60"/>
        <w:ind w:left="357" w:hanging="357"/>
        <w:jc w:val="both"/>
      </w:pPr>
      <w:r>
        <w:rPr>
          <w:rFonts w:ascii="Times New Roman" w:hAnsi="Times New Roman" w:eastAsia="宋体"/>
          <w:b w:val="0"/>
          <w:i w:val="0"/>
          <w:color w:val="000000"/>
          <w:sz w:val="21"/>
        </w:rPr>
        <w:t>b) 就质量管理体系的绩效向最高管理者报告；</w:t>
      </w:r>
    </w:p>
    <w:p w14:paraId="233AC50B">
      <w:pPr>
        <w:keepNext/>
        <w:spacing w:before="20" w:after="0"/>
        <w:ind w:left="357" w:hanging="357"/>
        <w:jc w:val="both"/>
      </w:pPr>
      <w:r>
        <w:rPr>
          <w:rFonts w:ascii="Times New Roman" w:hAnsi="Times New Roman" w:eastAsia="宋体"/>
          <w:b w:val="0"/>
          <w:i w:val="0"/>
          <w:color w:val="000000"/>
          <w:sz w:val="21"/>
        </w:rPr>
        <w:t>c) ensuring that the processes are delivering their intended results;</w:t>
      </w:r>
    </w:p>
    <w:p w14:paraId="0CCAA589">
      <w:pPr>
        <w:spacing w:before="0" w:after="60"/>
        <w:ind w:left="357" w:hanging="357"/>
        <w:jc w:val="both"/>
      </w:pPr>
      <w:r>
        <w:rPr>
          <w:rFonts w:ascii="Times New Roman" w:hAnsi="Times New Roman" w:eastAsia="宋体"/>
          <w:b w:val="0"/>
          <w:i w:val="0"/>
          <w:color w:val="000000"/>
          <w:sz w:val="21"/>
        </w:rPr>
        <w:t>c) 确保过程实现其预期结果；</w:t>
      </w:r>
    </w:p>
    <w:p w14:paraId="0AB452DB">
      <w:pPr>
        <w:keepNext/>
        <w:spacing w:before="20" w:after="0"/>
        <w:ind w:left="357" w:hanging="357"/>
        <w:jc w:val="both"/>
      </w:pPr>
      <w:r>
        <w:rPr>
          <w:rFonts w:ascii="Times New Roman" w:hAnsi="Times New Roman" w:eastAsia="宋体"/>
          <w:b w:val="0"/>
          <w:i w:val="0"/>
          <w:color w:val="000000"/>
          <w:sz w:val="21"/>
        </w:rPr>
        <w:t>d) ensuring the promotion of customer focus throughout the organization;</w:t>
      </w:r>
    </w:p>
    <w:p w14:paraId="4A440780">
      <w:pPr>
        <w:spacing w:before="0" w:after="60"/>
        <w:ind w:left="357" w:hanging="357"/>
        <w:jc w:val="both"/>
      </w:pPr>
      <w:r>
        <w:rPr>
          <w:rFonts w:ascii="Times New Roman" w:hAnsi="Times New Roman" w:eastAsia="宋体"/>
          <w:b w:val="0"/>
          <w:i w:val="0"/>
          <w:color w:val="000000"/>
          <w:sz w:val="21"/>
        </w:rPr>
        <w:t>d) 确保在整个组织内推动以顾客为关注焦点；</w:t>
      </w:r>
    </w:p>
    <w:p w14:paraId="4CFCB176">
      <w:pPr>
        <w:keepNext/>
        <w:spacing w:before="20" w:after="0"/>
        <w:ind w:left="357" w:hanging="357"/>
        <w:jc w:val="both"/>
      </w:pPr>
      <w:r>
        <w:rPr>
          <w:rFonts w:ascii="Times New Roman" w:hAnsi="Times New Roman" w:eastAsia="宋体"/>
          <w:b w:val="0"/>
          <w:i w:val="0"/>
          <w:color w:val="000000"/>
          <w:sz w:val="21"/>
        </w:rPr>
        <w:t>e) reporting on opportunities for improvement to top management;</w:t>
      </w:r>
    </w:p>
    <w:p w14:paraId="1286E22B">
      <w:pPr>
        <w:spacing w:before="0" w:after="60"/>
        <w:ind w:left="357" w:hanging="357"/>
        <w:jc w:val="both"/>
      </w:pPr>
      <w:r>
        <w:rPr>
          <w:rFonts w:ascii="Times New Roman" w:hAnsi="Times New Roman" w:eastAsia="宋体"/>
          <w:b w:val="0"/>
          <w:i w:val="0"/>
          <w:color w:val="000000"/>
          <w:sz w:val="21"/>
        </w:rPr>
        <w:t>e) 就改进的机遇向最高管理者报告；</w:t>
      </w:r>
    </w:p>
    <w:p w14:paraId="277A7929">
      <w:pPr>
        <w:keepNext/>
        <w:spacing w:before="20" w:after="0"/>
        <w:ind w:left="357" w:hanging="357"/>
        <w:jc w:val="both"/>
      </w:pPr>
      <w:r>
        <w:rPr>
          <w:rFonts w:ascii="Times New Roman" w:hAnsi="Times New Roman" w:eastAsia="宋体"/>
          <w:b w:val="0"/>
          <w:i w:val="0"/>
          <w:color w:val="000000"/>
          <w:sz w:val="21"/>
        </w:rPr>
        <w:t>f) ensuring that the integrity of the quality management system is maintained, including when changes to the quality management system are planned and implemented.</w:t>
      </w:r>
    </w:p>
    <w:p w14:paraId="4A8F65EB">
      <w:pPr>
        <w:spacing w:before="0" w:after="60"/>
        <w:ind w:left="357" w:hanging="357"/>
        <w:jc w:val="both"/>
      </w:pPr>
      <w:r>
        <w:rPr>
          <w:rFonts w:ascii="Times New Roman" w:hAnsi="Times New Roman" w:eastAsia="宋体"/>
          <w:b w:val="0"/>
          <w:i w:val="0"/>
          <w:color w:val="000000"/>
          <w:sz w:val="21"/>
        </w:rPr>
        <w:t>f) 确保质量管理体系保持其完整性，包括在策划和实施质量管理体系变更时。</w:t>
      </w:r>
    </w:p>
    <w:p w14:paraId="6786B372">
      <w:pPr>
        <w:keepNext/>
        <w:spacing w:before="320" w:after="0"/>
        <w:jc w:val="left"/>
      </w:pPr>
      <w:r>
        <w:rPr>
          <w:rFonts w:ascii="Times New Roman" w:hAnsi="Times New Roman" w:eastAsia="宋体"/>
          <w:b/>
          <w:i w:val="0"/>
          <w:color w:val="000000"/>
          <w:sz w:val="28"/>
        </w:rPr>
        <w:t>6  Planning</w:t>
      </w:r>
    </w:p>
    <w:p w14:paraId="24E1D29E">
      <w:pPr>
        <w:pBdr>
          <w:bottom w:val="single" w:color="C01E2E" w:sz="8" w:space="2"/>
        </w:pBdr>
        <w:spacing w:before="0" w:after="100"/>
        <w:jc w:val="left"/>
      </w:pPr>
      <w:r>
        <w:rPr>
          <w:rFonts w:ascii="Times New Roman" w:hAnsi="Times New Roman" w:eastAsia="黑体"/>
          <w:b w:val="0"/>
          <w:i w:val="0"/>
          <w:color w:val="000000"/>
          <w:sz w:val="28"/>
        </w:rPr>
        <w:t>6  策划</w:t>
      </w:r>
    </w:p>
    <w:p w14:paraId="1A8E96B6">
      <w:pPr>
        <w:keepNext/>
        <w:spacing w:before="240" w:after="0"/>
        <w:jc w:val="left"/>
      </w:pPr>
      <w:r>
        <w:rPr>
          <w:rFonts w:ascii="Times New Roman" w:hAnsi="Times New Roman" w:eastAsia="宋体"/>
          <w:b/>
          <w:i w:val="0"/>
          <w:color w:val="000000"/>
          <w:sz w:val="24"/>
        </w:rPr>
        <w:t>6.1  Actions to address risks and opportunities</w:t>
      </w:r>
    </w:p>
    <w:p w14:paraId="4FBCDFA6">
      <w:pPr>
        <w:spacing w:before="0" w:after="80"/>
        <w:jc w:val="left"/>
      </w:pPr>
      <w:r>
        <w:rPr>
          <w:rFonts w:ascii="Times New Roman" w:hAnsi="Times New Roman" w:eastAsia="黑体"/>
          <w:b w:val="0"/>
          <w:i w:val="0"/>
          <w:color w:val="000000"/>
          <w:sz w:val="24"/>
        </w:rPr>
        <w:t>6.1  应对风险和机遇的措施</w:t>
      </w:r>
    </w:p>
    <w:p w14:paraId="2574F625">
      <w:pPr>
        <w:keepNext/>
        <w:spacing w:before="200" w:after="0"/>
        <w:jc w:val="left"/>
      </w:pPr>
      <w:r>
        <w:rPr>
          <w:rFonts w:ascii="Times New Roman" w:hAnsi="Times New Roman" w:eastAsia="宋体"/>
          <w:b/>
          <w:i w:val="0"/>
          <w:color w:val="000000"/>
          <w:sz w:val="22"/>
        </w:rPr>
        <w:t>6.1.1  Determining risks and opportunities</w:t>
      </w:r>
    </w:p>
    <w:p w14:paraId="70044884">
      <w:pPr>
        <w:spacing w:before="0" w:after="80"/>
        <w:jc w:val="left"/>
      </w:pPr>
      <w:r>
        <w:rPr>
          <w:rFonts w:ascii="Times New Roman" w:hAnsi="Times New Roman" w:eastAsia="黑体"/>
          <w:b w:val="0"/>
          <w:i w:val="0"/>
          <w:color w:val="000000"/>
          <w:sz w:val="22"/>
        </w:rPr>
        <w:t>6.1.1  确定风险和机遇</w:t>
      </w:r>
    </w:p>
    <w:p w14:paraId="01E13FE5">
      <w:pPr>
        <w:keepNext/>
        <w:spacing w:before="60" w:after="0"/>
        <w:jc w:val="both"/>
      </w:pPr>
      <w:r>
        <w:rPr>
          <w:rFonts w:ascii="Times New Roman" w:hAnsi="Times New Roman" w:eastAsia="宋体"/>
          <w:b w:val="0"/>
          <w:i w:val="0"/>
          <w:color w:val="000000"/>
          <w:sz w:val="21"/>
        </w:rPr>
        <w:t>When planning for the quality management system, the organization shall consider the issues referred to in 4.1 and the requirements referred to in 4.2, and determine the risks and opportunities that need to be addressed to:</w:t>
      </w:r>
    </w:p>
    <w:p w14:paraId="348A7135">
      <w:pPr>
        <w:spacing w:before="0" w:after="100"/>
        <w:jc w:val="both"/>
      </w:pPr>
      <w:r>
        <w:rPr>
          <w:rFonts w:ascii="Times New Roman" w:hAnsi="Times New Roman" w:eastAsia="宋体"/>
          <w:b w:val="0"/>
          <w:i w:val="0"/>
          <w:color w:val="000000"/>
          <w:sz w:val="21"/>
        </w:rPr>
        <w:t>在策划质量管理体系时，组织应考虑4.1中提及的因素和4.2中提及的要求，并确定需要应对的风险和机遇，以便：</w:t>
      </w:r>
    </w:p>
    <w:p w14:paraId="00180F96">
      <w:pPr>
        <w:keepNext/>
        <w:spacing w:before="20" w:after="0"/>
        <w:ind w:left="357" w:hanging="357"/>
        <w:jc w:val="both"/>
      </w:pPr>
      <w:r>
        <w:rPr>
          <w:rFonts w:ascii="Times New Roman" w:hAnsi="Times New Roman" w:eastAsia="宋体"/>
          <w:b w:val="0"/>
          <w:i w:val="0"/>
          <w:color w:val="000000"/>
          <w:sz w:val="21"/>
        </w:rPr>
        <w:t>a) give assurance that the quality management system can achieve its intended result(s);</w:t>
      </w:r>
    </w:p>
    <w:p w14:paraId="0F399EB8">
      <w:pPr>
        <w:spacing w:before="0" w:after="60"/>
        <w:ind w:left="357" w:hanging="357"/>
        <w:jc w:val="both"/>
      </w:pPr>
      <w:r>
        <w:rPr>
          <w:rFonts w:ascii="Times New Roman" w:hAnsi="Times New Roman" w:eastAsia="宋体"/>
          <w:b w:val="0"/>
          <w:i w:val="0"/>
          <w:color w:val="000000"/>
          <w:sz w:val="21"/>
        </w:rPr>
        <w:t>a) 确保质量管理体系能够实现其预期结果；</w:t>
      </w:r>
    </w:p>
    <w:p w14:paraId="465C709B">
      <w:pPr>
        <w:keepNext/>
        <w:spacing w:before="20" w:after="0"/>
        <w:ind w:left="357" w:hanging="357"/>
        <w:jc w:val="both"/>
      </w:pPr>
      <w:r>
        <w:rPr>
          <w:rFonts w:ascii="Times New Roman" w:hAnsi="Times New Roman" w:eastAsia="宋体"/>
          <w:b w:val="0"/>
          <w:i w:val="0"/>
          <w:color w:val="000000"/>
          <w:sz w:val="21"/>
        </w:rPr>
        <w:t>b) prevent, or reduce, undesired effects;</w:t>
      </w:r>
    </w:p>
    <w:p w14:paraId="2797FBE7">
      <w:pPr>
        <w:spacing w:before="0" w:after="60"/>
        <w:ind w:left="357" w:hanging="357"/>
        <w:jc w:val="both"/>
      </w:pPr>
      <w:r>
        <w:rPr>
          <w:rFonts w:ascii="Times New Roman" w:hAnsi="Times New Roman" w:eastAsia="宋体"/>
          <w:b w:val="0"/>
          <w:i w:val="0"/>
          <w:color w:val="000000"/>
          <w:sz w:val="21"/>
        </w:rPr>
        <w:t>b) 预防或减少不良影响；</w:t>
      </w:r>
    </w:p>
    <w:p w14:paraId="221B4611">
      <w:pPr>
        <w:keepNext/>
        <w:spacing w:before="20" w:after="0"/>
        <w:ind w:left="357" w:hanging="357"/>
        <w:jc w:val="both"/>
      </w:pPr>
      <w:r>
        <w:rPr>
          <w:rFonts w:ascii="Times New Roman" w:hAnsi="Times New Roman" w:eastAsia="宋体"/>
          <w:b w:val="0"/>
          <w:i w:val="0"/>
          <w:color w:val="000000"/>
          <w:sz w:val="21"/>
        </w:rPr>
        <w:t>c) achieve continual improvement;</w:t>
      </w:r>
    </w:p>
    <w:p w14:paraId="6E74DFEB">
      <w:pPr>
        <w:spacing w:before="0" w:after="60"/>
        <w:ind w:left="357" w:hanging="357"/>
        <w:jc w:val="both"/>
      </w:pPr>
      <w:r>
        <w:rPr>
          <w:rFonts w:ascii="Times New Roman" w:hAnsi="Times New Roman" w:eastAsia="宋体"/>
          <w:b w:val="0"/>
          <w:i w:val="0"/>
          <w:color w:val="000000"/>
          <w:sz w:val="21"/>
        </w:rPr>
        <w:t>c) 实现持续改进；</w:t>
      </w:r>
    </w:p>
    <w:p w14:paraId="497FFBE7">
      <w:pPr>
        <w:keepNext/>
        <w:spacing w:before="20" w:after="0"/>
        <w:ind w:left="357" w:hanging="357"/>
        <w:jc w:val="both"/>
      </w:pPr>
      <w:r>
        <w:rPr>
          <w:rFonts w:ascii="Times New Roman" w:hAnsi="Times New Roman" w:eastAsia="宋体"/>
          <w:b w:val="0"/>
          <w:i w:val="0"/>
          <w:color w:val="000000"/>
          <w:sz w:val="21"/>
        </w:rPr>
        <w:t>d) enhance desired effects.</w:t>
      </w:r>
    </w:p>
    <w:p w14:paraId="7725B227">
      <w:pPr>
        <w:spacing w:before="0" w:after="60"/>
        <w:ind w:left="357" w:hanging="357"/>
        <w:jc w:val="both"/>
      </w:pPr>
      <w:r>
        <w:rPr>
          <w:rFonts w:ascii="Times New Roman" w:hAnsi="Times New Roman" w:eastAsia="宋体"/>
          <w:b w:val="0"/>
          <w:i w:val="0"/>
          <w:color w:val="000000"/>
          <w:sz w:val="21"/>
        </w:rPr>
        <w:t>d) 增强期望的效果。</w:t>
      </w:r>
    </w:p>
    <w:p w14:paraId="26D9CB9F">
      <w:pPr>
        <w:keepNext/>
        <w:spacing w:before="200" w:after="0"/>
        <w:jc w:val="left"/>
      </w:pPr>
      <w:r>
        <w:rPr>
          <w:rFonts w:ascii="Times New Roman" w:hAnsi="Times New Roman" w:eastAsia="宋体"/>
          <w:b/>
          <w:i w:val="0"/>
          <w:color w:val="000000"/>
          <w:sz w:val="22"/>
        </w:rPr>
        <w:t>6.1.2  Actions to address risks</w:t>
      </w:r>
    </w:p>
    <w:p w14:paraId="709CBF50">
      <w:pPr>
        <w:spacing w:before="0" w:after="80"/>
        <w:jc w:val="left"/>
      </w:pPr>
      <w:r>
        <w:rPr>
          <w:rFonts w:ascii="Times New Roman" w:hAnsi="Times New Roman" w:eastAsia="黑体"/>
          <w:b w:val="0"/>
          <w:i w:val="0"/>
          <w:color w:val="000000"/>
          <w:sz w:val="22"/>
        </w:rPr>
        <w:t>6.1.2  应对风险的措施</w:t>
      </w:r>
    </w:p>
    <w:p w14:paraId="4CC166C7">
      <w:pPr>
        <w:keepNext/>
        <w:spacing w:before="60" w:after="0"/>
        <w:jc w:val="both"/>
      </w:pPr>
      <w:r>
        <w:rPr>
          <w:rFonts w:ascii="Times New Roman" w:hAnsi="Times New Roman" w:eastAsia="宋体"/>
          <w:b w:val="0"/>
          <w:i w:val="0"/>
          <w:color w:val="000000"/>
          <w:sz w:val="21"/>
        </w:rPr>
        <w:t>The organization shall determine, analyse and evaluate risks that can have an undesired effect on its ability to continually and consistently provide conforming products and services and enhance customer satisfaction.</w:t>
      </w:r>
    </w:p>
    <w:p w14:paraId="0E694096">
      <w:pPr>
        <w:spacing w:before="0" w:after="100"/>
        <w:jc w:val="both"/>
      </w:pPr>
      <w:r>
        <w:rPr>
          <w:rFonts w:ascii="Times New Roman" w:hAnsi="Times New Roman" w:eastAsia="宋体"/>
          <w:b w:val="0"/>
          <w:i w:val="0"/>
          <w:color w:val="000000"/>
          <w:sz w:val="21"/>
        </w:rPr>
        <w:t>组织应确定、分析并评价可能对其持续且稳定地提供合格产品和服务以及增强顾客满意的能力产生不良影响的风险。</w:t>
      </w:r>
    </w:p>
    <w:p w14:paraId="1E5A33E2">
      <w:pPr>
        <w:keepNext/>
        <w:spacing w:before="60" w:after="0"/>
        <w:jc w:val="both"/>
      </w:pPr>
      <w:r>
        <w:rPr>
          <w:rFonts w:ascii="Times New Roman" w:hAnsi="Times New Roman" w:eastAsia="宋体"/>
          <w:b w:val="0"/>
          <w:i w:val="0"/>
          <w:color w:val="000000"/>
          <w:sz w:val="21"/>
        </w:rPr>
        <w:t>The organization shall plan:</w:t>
      </w:r>
    </w:p>
    <w:p w14:paraId="11B8FE07">
      <w:pPr>
        <w:spacing w:before="0" w:after="100"/>
        <w:jc w:val="both"/>
      </w:pPr>
      <w:r>
        <w:rPr>
          <w:rFonts w:ascii="Times New Roman" w:hAnsi="Times New Roman" w:eastAsia="宋体"/>
          <w:b w:val="0"/>
          <w:i w:val="0"/>
          <w:color w:val="000000"/>
          <w:sz w:val="21"/>
        </w:rPr>
        <w:t>组织应策划：</w:t>
      </w:r>
    </w:p>
    <w:p w14:paraId="13C28F2F">
      <w:pPr>
        <w:keepNext/>
        <w:spacing w:before="20" w:after="0"/>
        <w:ind w:left="357" w:hanging="357"/>
        <w:jc w:val="both"/>
      </w:pPr>
      <w:r>
        <w:rPr>
          <w:rFonts w:ascii="Times New Roman" w:hAnsi="Times New Roman" w:eastAsia="宋体"/>
          <w:b w:val="0"/>
          <w:i w:val="0"/>
          <w:color w:val="000000"/>
          <w:sz w:val="21"/>
        </w:rPr>
        <w:t>a) actions to address these risks;</w:t>
      </w:r>
    </w:p>
    <w:p w14:paraId="69FAAD35">
      <w:pPr>
        <w:spacing w:before="0" w:after="60"/>
        <w:ind w:left="357" w:hanging="357"/>
        <w:jc w:val="both"/>
      </w:pPr>
      <w:r>
        <w:rPr>
          <w:rFonts w:ascii="Times New Roman" w:hAnsi="Times New Roman" w:eastAsia="宋体"/>
          <w:b w:val="0"/>
          <w:i w:val="0"/>
          <w:color w:val="000000"/>
          <w:sz w:val="21"/>
        </w:rPr>
        <w:t>a) 应对这些风险的措施；</w:t>
      </w:r>
    </w:p>
    <w:p w14:paraId="054EDCC8">
      <w:pPr>
        <w:keepNext/>
        <w:spacing w:before="20" w:after="0"/>
        <w:ind w:left="357" w:hanging="357"/>
        <w:jc w:val="both"/>
      </w:pPr>
      <w:r>
        <w:rPr>
          <w:rFonts w:ascii="Times New Roman" w:hAnsi="Times New Roman" w:eastAsia="宋体"/>
          <w:b w:val="0"/>
          <w:i w:val="0"/>
          <w:color w:val="000000"/>
          <w:sz w:val="21"/>
        </w:rPr>
        <w:t>b) how to:</w:t>
      </w:r>
    </w:p>
    <w:p w14:paraId="412AE9DA">
      <w:pPr>
        <w:spacing w:before="0" w:after="60"/>
        <w:ind w:left="357" w:hanging="357"/>
        <w:jc w:val="both"/>
      </w:pPr>
      <w:r>
        <w:rPr>
          <w:rFonts w:ascii="Times New Roman" w:hAnsi="Times New Roman" w:eastAsia="宋体"/>
          <w:b w:val="0"/>
          <w:i w:val="0"/>
          <w:color w:val="000000"/>
          <w:sz w:val="21"/>
        </w:rPr>
        <w:t>b) 如何：</w:t>
      </w:r>
    </w:p>
    <w:p w14:paraId="1B14ABFD">
      <w:pPr>
        <w:keepNext/>
        <w:spacing w:before="20" w:after="0"/>
        <w:ind w:left="720" w:hanging="363"/>
        <w:jc w:val="both"/>
      </w:pPr>
      <w:r>
        <w:rPr>
          <w:rFonts w:ascii="Times New Roman" w:hAnsi="Times New Roman" w:eastAsia="宋体"/>
          <w:b w:val="0"/>
          <w:i w:val="0"/>
          <w:color w:val="000000"/>
          <w:sz w:val="21"/>
        </w:rPr>
        <w:t>1) integrate and implement the actions into its quality management system processes;</w:t>
      </w:r>
    </w:p>
    <w:p w14:paraId="39CB4F2A">
      <w:pPr>
        <w:spacing w:before="0" w:after="60"/>
        <w:ind w:left="720" w:hanging="363"/>
        <w:jc w:val="both"/>
      </w:pPr>
      <w:r>
        <w:rPr>
          <w:rFonts w:ascii="Times New Roman" w:hAnsi="Times New Roman" w:eastAsia="宋体"/>
          <w:b w:val="0"/>
          <w:i w:val="0"/>
          <w:color w:val="000000"/>
          <w:sz w:val="21"/>
        </w:rPr>
        <w:t>1) 将这些措施融入其质量管理体系的过程之中并予以实施；</w:t>
      </w:r>
    </w:p>
    <w:p w14:paraId="53996AC0">
      <w:pPr>
        <w:keepNext/>
        <w:spacing w:before="20" w:after="0"/>
        <w:ind w:left="720" w:hanging="363"/>
        <w:jc w:val="both"/>
      </w:pPr>
      <w:r>
        <w:rPr>
          <w:rFonts w:ascii="Times New Roman" w:hAnsi="Times New Roman" w:eastAsia="宋体"/>
          <w:b w:val="0"/>
          <w:i w:val="0"/>
          <w:color w:val="000000"/>
          <w:sz w:val="21"/>
        </w:rPr>
        <w:t>2) evaluate the effectiveness of these actions.</w:t>
      </w:r>
    </w:p>
    <w:p w14:paraId="1409242B">
      <w:pPr>
        <w:spacing w:before="0" w:after="60"/>
        <w:ind w:left="720" w:hanging="363"/>
        <w:jc w:val="both"/>
      </w:pPr>
      <w:r>
        <w:rPr>
          <w:rFonts w:ascii="Times New Roman" w:hAnsi="Times New Roman" w:eastAsia="宋体"/>
          <w:b w:val="0"/>
          <w:i w:val="0"/>
          <w:color w:val="000000"/>
          <w:sz w:val="21"/>
        </w:rPr>
        <w:t>2) 评价这些措施的有效性。</w:t>
      </w:r>
    </w:p>
    <w:p w14:paraId="71C494B5">
      <w:pPr>
        <w:keepNext/>
        <w:spacing w:before="60" w:after="0"/>
        <w:jc w:val="both"/>
      </w:pPr>
      <w:r>
        <w:rPr>
          <w:rFonts w:ascii="Times New Roman" w:hAnsi="Times New Roman" w:eastAsia="宋体"/>
          <w:b w:val="0"/>
          <w:i w:val="0"/>
          <w:color w:val="000000"/>
          <w:sz w:val="21"/>
        </w:rPr>
        <w:t>Actions taken shall be proportionate to the potential impact of the risks on the intended results of the quality management system.</w:t>
      </w:r>
    </w:p>
    <w:p w14:paraId="2958CAA0">
      <w:pPr>
        <w:spacing w:before="0" w:after="100"/>
        <w:jc w:val="both"/>
      </w:pPr>
      <w:r>
        <w:rPr>
          <w:rFonts w:ascii="Times New Roman" w:hAnsi="Times New Roman" w:eastAsia="宋体"/>
          <w:b w:val="0"/>
          <w:i w:val="0"/>
          <w:color w:val="000000"/>
          <w:sz w:val="21"/>
        </w:rPr>
        <w:t>所采取的措施应与风险对质量管理体系预期结果的潜在影响相适应。</w:t>
      </w:r>
    </w:p>
    <w:p w14:paraId="43DB4607">
      <w:pPr>
        <w:keepNext/>
        <w:spacing w:before="20" w:after="0"/>
        <w:ind w:left="227"/>
        <w:jc w:val="both"/>
      </w:pPr>
      <w:r>
        <w:rPr>
          <w:rFonts w:ascii="Times New Roman" w:hAnsi="Times New Roman" w:eastAsia="宋体"/>
          <w:b w:val="0"/>
          <w:i/>
          <w:color w:val="000000"/>
          <w:sz w:val="20"/>
        </w:rPr>
        <w:t>NOTE 1 — Determined risks can include risks related to the ability to provide conforming products and services during and after a disruption.</w:t>
      </w:r>
    </w:p>
    <w:p w14:paraId="124257AE">
      <w:pPr>
        <w:spacing w:before="0" w:after="100"/>
        <w:ind w:left="227"/>
        <w:jc w:val="both"/>
      </w:pPr>
      <w:r>
        <w:rPr>
          <w:rFonts w:ascii="Times New Roman" w:hAnsi="Times New Roman" w:eastAsia="宋体"/>
          <w:b w:val="0"/>
          <w:i w:val="0"/>
          <w:color w:val="000000"/>
          <w:sz w:val="20"/>
        </w:rPr>
        <w:t>注1：所确定的风险可包括与在中断期间及中断之后提供合格产品和服务的能力有关的风险。</w:t>
      </w:r>
    </w:p>
    <w:p w14:paraId="153A9C1F">
      <w:pPr>
        <w:keepNext/>
        <w:spacing w:before="20" w:after="0"/>
        <w:ind w:left="227"/>
        <w:jc w:val="both"/>
      </w:pPr>
      <w:r>
        <w:rPr>
          <w:rFonts w:ascii="Times New Roman" w:hAnsi="Times New Roman" w:eastAsia="宋体"/>
          <w:b w:val="0"/>
          <w:i/>
          <w:color w:val="000000"/>
          <w:sz w:val="20"/>
        </w:rPr>
        <w:t>NOTE 2 — Actions to address risks can include avoiding risk, taking risk in order to pursue an opportunity, eliminating risk sources, changing the likelihood or consequences, sharing the risk or retaining risk by informed decision.</w:t>
      </w:r>
    </w:p>
    <w:p w14:paraId="56B5FC9A">
      <w:pPr>
        <w:spacing w:before="0" w:after="100"/>
        <w:ind w:left="227"/>
        <w:jc w:val="both"/>
      </w:pPr>
      <w:r>
        <w:rPr>
          <w:rFonts w:ascii="Times New Roman" w:hAnsi="Times New Roman" w:eastAsia="宋体"/>
          <w:b w:val="0"/>
          <w:i w:val="0"/>
          <w:color w:val="000000"/>
          <w:sz w:val="20"/>
        </w:rPr>
        <w:t>注2：应对风险的措施可包括：规避风险、为追求机遇而承担风险、消除风险源、改变风险的可能性或后果、分担风险，或经充分知情的决策保留风险。</w:t>
      </w:r>
    </w:p>
    <w:p w14:paraId="2383F61B">
      <w:pPr>
        <w:keepNext/>
        <w:spacing w:before="200" w:after="0"/>
        <w:jc w:val="left"/>
      </w:pPr>
      <w:r>
        <w:rPr>
          <w:rFonts w:ascii="Times New Roman" w:hAnsi="Times New Roman" w:eastAsia="宋体"/>
          <w:b/>
          <w:i w:val="0"/>
          <w:color w:val="000000"/>
          <w:sz w:val="22"/>
        </w:rPr>
        <w:t>6.1.3  Actions to address opportunities</w:t>
      </w:r>
    </w:p>
    <w:p w14:paraId="4F86E67D">
      <w:pPr>
        <w:spacing w:before="0" w:after="80"/>
        <w:jc w:val="left"/>
      </w:pPr>
      <w:r>
        <w:rPr>
          <w:rFonts w:ascii="Times New Roman" w:hAnsi="Times New Roman" w:eastAsia="黑体"/>
          <w:b w:val="0"/>
          <w:i w:val="0"/>
          <w:color w:val="000000"/>
          <w:sz w:val="22"/>
        </w:rPr>
        <w:t>6.1.3  应对机遇的措施</w:t>
      </w:r>
    </w:p>
    <w:p w14:paraId="5E7BFF7E">
      <w:pPr>
        <w:keepNext/>
        <w:spacing w:before="60" w:after="0"/>
        <w:jc w:val="both"/>
      </w:pPr>
      <w:r>
        <w:rPr>
          <w:rFonts w:ascii="Times New Roman" w:hAnsi="Times New Roman" w:eastAsia="宋体"/>
          <w:b w:val="0"/>
          <w:i w:val="0"/>
          <w:color w:val="000000"/>
          <w:sz w:val="21"/>
        </w:rPr>
        <w:t>The organization shall determine, analyse and evaluate opportunities that can have a desired effect on its ability to continually and consistently provide conforming products and services and enhance customer satisfaction.</w:t>
      </w:r>
    </w:p>
    <w:p w14:paraId="46620150">
      <w:pPr>
        <w:spacing w:before="0" w:after="100"/>
        <w:jc w:val="both"/>
      </w:pPr>
      <w:r>
        <w:rPr>
          <w:rFonts w:ascii="Times New Roman" w:hAnsi="Times New Roman" w:eastAsia="宋体"/>
          <w:b w:val="0"/>
          <w:i w:val="0"/>
          <w:color w:val="000000"/>
          <w:sz w:val="21"/>
        </w:rPr>
        <w:t>组织应确定、分析并评价可能对其持续且稳定地提供合格产品和服务以及增强顾客满意的能力产生期望影响的机遇。</w:t>
      </w:r>
    </w:p>
    <w:p w14:paraId="16466153">
      <w:pPr>
        <w:keepNext/>
        <w:spacing w:before="60" w:after="0"/>
        <w:jc w:val="both"/>
      </w:pPr>
      <w:r>
        <w:rPr>
          <w:rFonts w:ascii="Times New Roman" w:hAnsi="Times New Roman" w:eastAsia="宋体"/>
          <w:b w:val="0"/>
          <w:i w:val="0"/>
          <w:color w:val="000000"/>
          <w:sz w:val="21"/>
        </w:rPr>
        <w:t>The organization shall plan:</w:t>
      </w:r>
    </w:p>
    <w:p w14:paraId="547C8B18">
      <w:pPr>
        <w:spacing w:before="0" w:after="100"/>
        <w:jc w:val="both"/>
      </w:pPr>
      <w:r>
        <w:rPr>
          <w:rFonts w:ascii="Times New Roman" w:hAnsi="Times New Roman" w:eastAsia="宋体"/>
          <w:b w:val="0"/>
          <w:i w:val="0"/>
          <w:color w:val="000000"/>
          <w:sz w:val="21"/>
        </w:rPr>
        <w:t>组织应策划：</w:t>
      </w:r>
    </w:p>
    <w:p w14:paraId="096EF25C">
      <w:pPr>
        <w:keepNext/>
        <w:spacing w:before="20" w:after="0"/>
        <w:ind w:left="357" w:hanging="357"/>
        <w:jc w:val="both"/>
      </w:pPr>
      <w:r>
        <w:rPr>
          <w:rFonts w:ascii="Times New Roman" w:hAnsi="Times New Roman" w:eastAsia="宋体"/>
          <w:b w:val="0"/>
          <w:i w:val="0"/>
          <w:color w:val="000000"/>
          <w:sz w:val="21"/>
        </w:rPr>
        <w:t>a) actions to address these opportunities;</w:t>
      </w:r>
    </w:p>
    <w:p w14:paraId="6FE8D4A8">
      <w:pPr>
        <w:spacing w:before="0" w:after="60"/>
        <w:ind w:left="357" w:hanging="357"/>
        <w:jc w:val="both"/>
      </w:pPr>
      <w:r>
        <w:rPr>
          <w:rFonts w:ascii="Times New Roman" w:hAnsi="Times New Roman" w:eastAsia="宋体"/>
          <w:b w:val="0"/>
          <w:i w:val="0"/>
          <w:color w:val="000000"/>
          <w:sz w:val="21"/>
        </w:rPr>
        <w:t>a) 应对这些机遇的措施；</w:t>
      </w:r>
    </w:p>
    <w:p w14:paraId="5FB07423">
      <w:pPr>
        <w:keepNext/>
        <w:spacing w:before="20" w:after="0"/>
        <w:ind w:left="357" w:hanging="357"/>
        <w:jc w:val="both"/>
      </w:pPr>
      <w:r>
        <w:rPr>
          <w:rFonts w:ascii="Times New Roman" w:hAnsi="Times New Roman" w:eastAsia="宋体"/>
          <w:b w:val="0"/>
          <w:i w:val="0"/>
          <w:color w:val="000000"/>
          <w:sz w:val="21"/>
        </w:rPr>
        <w:t>b) how to:</w:t>
      </w:r>
    </w:p>
    <w:p w14:paraId="4C317EF9">
      <w:pPr>
        <w:spacing w:before="0" w:after="60"/>
        <w:ind w:left="357" w:hanging="357"/>
        <w:jc w:val="both"/>
      </w:pPr>
      <w:r>
        <w:rPr>
          <w:rFonts w:ascii="Times New Roman" w:hAnsi="Times New Roman" w:eastAsia="宋体"/>
          <w:b w:val="0"/>
          <w:i w:val="0"/>
          <w:color w:val="000000"/>
          <w:sz w:val="21"/>
        </w:rPr>
        <w:t>b) 如何：</w:t>
      </w:r>
    </w:p>
    <w:p w14:paraId="3D5C79CC">
      <w:pPr>
        <w:keepNext/>
        <w:spacing w:before="20" w:after="0"/>
        <w:ind w:left="720" w:hanging="363"/>
        <w:jc w:val="both"/>
      </w:pPr>
      <w:r>
        <w:rPr>
          <w:rFonts w:ascii="Times New Roman" w:hAnsi="Times New Roman" w:eastAsia="宋体"/>
          <w:b w:val="0"/>
          <w:i w:val="0"/>
          <w:color w:val="000000"/>
          <w:sz w:val="21"/>
        </w:rPr>
        <w:t>1) integrate and implement the actions into its quality management system processes;</w:t>
      </w:r>
    </w:p>
    <w:p w14:paraId="11076BEE">
      <w:pPr>
        <w:spacing w:before="0" w:after="60"/>
        <w:ind w:left="720" w:hanging="363"/>
        <w:jc w:val="both"/>
      </w:pPr>
      <w:r>
        <w:rPr>
          <w:rFonts w:ascii="Times New Roman" w:hAnsi="Times New Roman" w:eastAsia="宋体"/>
          <w:b w:val="0"/>
          <w:i w:val="0"/>
          <w:color w:val="000000"/>
          <w:sz w:val="21"/>
        </w:rPr>
        <w:t>1) 将这些措施融入其质量管理体系的过程之中并予以实施；</w:t>
      </w:r>
    </w:p>
    <w:p w14:paraId="242A5727">
      <w:pPr>
        <w:keepNext/>
        <w:spacing w:before="20" w:after="0"/>
        <w:ind w:left="720" w:hanging="363"/>
        <w:jc w:val="both"/>
      </w:pPr>
      <w:r>
        <w:rPr>
          <w:rFonts w:ascii="Times New Roman" w:hAnsi="Times New Roman" w:eastAsia="宋体"/>
          <w:b w:val="0"/>
          <w:i w:val="0"/>
          <w:color w:val="000000"/>
          <w:sz w:val="21"/>
        </w:rPr>
        <w:t>2) evaluate the effectiveness of these actions.</w:t>
      </w:r>
    </w:p>
    <w:p w14:paraId="16130154">
      <w:pPr>
        <w:spacing w:before="0" w:after="60"/>
        <w:ind w:left="720" w:hanging="363"/>
        <w:jc w:val="both"/>
      </w:pPr>
      <w:r>
        <w:rPr>
          <w:rFonts w:ascii="Times New Roman" w:hAnsi="Times New Roman" w:eastAsia="宋体"/>
          <w:b w:val="0"/>
          <w:i w:val="0"/>
          <w:color w:val="000000"/>
          <w:sz w:val="21"/>
        </w:rPr>
        <w:t>2) 评价这些措施的有效性。</w:t>
      </w:r>
    </w:p>
    <w:p w14:paraId="614D367E">
      <w:pPr>
        <w:keepNext/>
        <w:spacing w:before="60" w:after="0"/>
        <w:jc w:val="both"/>
      </w:pPr>
      <w:r>
        <w:rPr>
          <w:rFonts w:ascii="Times New Roman" w:hAnsi="Times New Roman" w:eastAsia="宋体"/>
          <w:b w:val="0"/>
          <w:i w:val="0"/>
          <w:color w:val="000000"/>
          <w:sz w:val="21"/>
        </w:rPr>
        <w:t>Actions taken to address opportunities shall be appropriate to the organization's context and support the achievement of desired results.</w:t>
      </w:r>
    </w:p>
    <w:p w14:paraId="36E69686">
      <w:pPr>
        <w:spacing w:before="0" w:after="100"/>
        <w:jc w:val="both"/>
      </w:pPr>
      <w:r>
        <w:rPr>
          <w:rFonts w:ascii="Times New Roman" w:hAnsi="Times New Roman" w:eastAsia="宋体"/>
          <w:b w:val="0"/>
          <w:i w:val="0"/>
          <w:color w:val="000000"/>
          <w:sz w:val="21"/>
        </w:rPr>
        <w:t>所采取的应对机遇的措施应与组织的环境相适应，并支持期望结果的实现。</w:t>
      </w:r>
    </w:p>
    <w:p w14:paraId="17BA38FF">
      <w:pPr>
        <w:keepNext/>
        <w:spacing w:before="20" w:after="0"/>
        <w:ind w:left="227"/>
        <w:jc w:val="both"/>
      </w:pPr>
      <w:r>
        <w:rPr>
          <w:rFonts w:ascii="Times New Roman" w:hAnsi="Times New Roman" w:eastAsia="宋体"/>
          <w:b w:val="0"/>
          <w:i/>
          <w:color w:val="000000"/>
          <w:sz w:val="20"/>
        </w:rPr>
        <w:t>NOTE — Actions to address opportunities can include adopting new practices, launching new products or services, creating new partnerships, leveraging emerging technologies, implementing initiatives, and other actions to address the current and changing needs and expectations of an organization's customers and other relevant interested parties.</w:t>
      </w:r>
    </w:p>
    <w:p w14:paraId="0057EF08">
      <w:pPr>
        <w:spacing w:before="0" w:after="100"/>
        <w:ind w:left="227"/>
        <w:jc w:val="both"/>
      </w:pPr>
      <w:r>
        <w:rPr>
          <w:rFonts w:ascii="Times New Roman" w:hAnsi="Times New Roman" w:eastAsia="宋体"/>
          <w:b w:val="0"/>
          <w:i w:val="0"/>
          <w:color w:val="000000"/>
          <w:sz w:val="20"/>
        </w:rPr>
        <w:t>注：应对机遇的措施可包括：采用新的实践、推出新的产品或服务、建立新的伙伴关系、利用新兴技术、实施各类举措，以及采取其他措施，以应对组织顾客和其他相关方当前及不断变化的需求和期望。</w:t>
      </w:r>
    </w:p>
    <w:p w14:paraId="41AF240D">
      <w:pPr>
        <w:keepNext/>
        <w:spacing w:before="240" w:after="0"/>
        <w:jc w:val="left"/>
      </w:pPr>
      <w:r>
        <w:rPr>
          <w:rFonts w:ascii="Times New Roman" w:hAnsi="Times New Roman" w:eastAsia="宋体"/>
          <w:b/>
          <w:i w:val="0"/>
          <w:color w:val="000000"/>
          <w:sz w:val="24"/>
        </w:rPr>
        <w:t>6.2  Quality objectives and planning to achieve them</w:t>
      </w:r>
    </w:p>
    <w:p w14:paraId="4A5BE10E">
      <w:pPr>
        <w:spacing w:before="0" w:after="80"/>
        <w:jc w:val="left"/>
      </w:pPr>
      <w:r>
        <w:rPr>
          <w:rFonts w:ascii="Times New Roman" w:hAnsi="Times New Roman" w:eastAsia="黑体"/>
          <w:b w:val="0"/>
          <w:i w:val="0"/>
          <w:color w:val="000000"/>
          <w:sz w:val="24"/>
        </w:rPr>
        <w:t>6.2  质量目标及其实现的策划</w:t>
      </w:r>
    </w:p>
    <w:p w14:paraId="10CD4E71">
      <w:pPr>
        <w:keepNext/>
        <w:spacing w:before="60" w:after="0"/>
        <w:jc w:val="both"/>
      </w:pPr>
      <w:r>
        <w:rPr>
          <w:rFonts w:ascii="Times New Roman" w:hAnsi="Times New Roman" w:eastAsia="宋体"/>
          <w:b w:val="0"/>
          <w:i w:val="0"/>
          <w:color w:val="000000"/>
          <w:sz w:val="21"/>
        </w:rPr>
        <w:t>6.2.1　The organization shall establish quality objectives at relevant functions, levels and processes.</w:t>
      </w:r>
    </w:p>
    <w:p w14:paraId="5140E295">
      <w:pPr>
        <w:spacing w:before="0" w:after="100"/>
        <w:jc w:val="both"/>
      </w:pPr>
      <w:r>
        <w:rPr>
          <w:rFonts w:ascii="Times New Roman" w:hAnsi="Times New Roman" w:eastAsia="宋体"/>
          <w:b w:val="0"/>
          <w:i w:val="0"/>
          <w:color w:val="000000"/>
          <w:sz w:val="21"/>
        </w:rPr>
        <w:t>6.2.1　组织应在相关职能、层级和过程上建立质量目标。</w:t>
      </w:r>
    </w:p>
    <w:p w14:paraId="594A25E1">
      <w:pPr>
        <w:keepNext/>
        <w:spacing w:before="60" w:after="0"/>
        <w:jc w:val="both"/>
      </w:pPr>
      <w:r>
        <w:rPr>
          <w:rFonts w:ascii="Times New Roman" w:hAnsi="Times New Roman" w:eastAsia="宋体"/>
          <w:b w:val="0"/>
          <w:i w:val="0"/>
          <w:color w:val="000000"/>
          <w:sz w:val="21"/>
        </w:rPr>
        <w:t>The quality objectives shall:</w:t>
      </w:r>
    </w:p>
    <w:p w14:paraId="6DAB7DCA">
      <w:pPr>
        <w:spacing w:before="0" w:after="100"/>
        <w:jc w:val="both"/>
      </w:pPr>
      <w:r>
        <w:rPr>
          <w:rFonts w:ascii="Times New Roman" w:hAnsi="Times New Roman" w:eastAsia="宋体"/>
          <w:b w:val="0"/>
          <w:i w:val="0"/>
          <w:color w:val="000000"/>
          <w:sz w:val="21"/>
        </w:rPr>
        <w:t>质量目标应：</w:t>
      </w:r>
    </w:p>
    <w:p w14:paraId="007AE70B">
      <w:pPr>
        <w:keepNext/>
        <w:spacing w:before="20" w:after="0"/>
        <w:ind w:left="357" w:hanging="357"/>
        <w:jc w:val="both"/>
      </w:pPr>
      <w:r>
        <w:rPr>
          <w:rFonts w:ascii="Times New Roman" w:hAnsi="Times New Roman" w:eastAsia="宋体"/>
          <w:b w:val="0"/>
          <w:i w:val="0"/>
          <w:color w:val="000000"/>
          <w:sz w:val="21"/>
        </w:rPr>
        <w:t>a) be consistent with the quality policy;</w:t>
      </w:r>
    </w:p>
    <w:p w14:paraId="4AE08D62">
      <w:pPr>
        <w:spacing w:before="0" w:after="60"/>
        <w:ind w:left="357" w:hanging="357"/>
        <w:jc w:val="both"/>
      </w:pPr>
      <w:r>
        <w:rPr>
          <w:rFonts w:ascii="Times New Roman" w:hAnsi="Times New Roman" w:eastAsia="宋体"/>
          <w:b w:val="0"/>
          <w:i w:val="0"/>
          <w:color w:val="000000"/>
          <w:sz w:val="21"/>
        </w:rPr>
        <w:t>a) 与质量方针保持一致；</w:t>
      </w:r>
    </w:p>
    <w:p w14:paraId="2651A689">
      <w:pPr>
        <w:keepNext/>
        <w:spacing w:before="20" w:after="0"/>
        <w:ind w:left="357" w:hanging="357"/>
        <w:jc w:val="both"/>
      </w:pPr>
      <w:r>
        <w:rPr>
          <w:rFonts w:ascii="Times New Roman" w:hAnsi="Times New Roman" w:eastAsia="宋体"/>
          <w:b w:val="0"/>
          <w:i w:val="0"/>
          <w:color w:val="000000"/>
          <w:sz w:val="21"/>
        </w:rPr>
        <w:t>b) be measurable;</w:t>
      </w:r>
    </w:p>
    <w:p w14:paraId="08CAF6F7">
      <w:pPr>
        <w:spacing w:before="0" w:after="60"/>
        <w:ind w:left="357" w:hanging="357"/>
        <w:jc w:val="both"/>
      </w:pPr>
      <w:r>
        <w:rPr>
          <w:rFonts w:ascii="Times New Roman" w:hAnsi="Times New Roman" w:eastAsia="宋体"/>
          <w:b w:val="0"/>
          <w:i w:val="0"/>
          <w:color w:val="000000"/>
          <w:sz w:val="21"/>
        </w:rPr>
        <w:t>b) 可测量；</w:t>
      </w:r>
    </w:p>
    <w:p w14:paraId="68355344">
      <w:pPr>
        <w:keepNext/>
        <w:spacing w:before="20" w:after="0"/>
        <w:ind w:left="357" w:hanging="357"/>
        <w:jc w:val="both"/>
      </w:pPr>
      <w:r>
        <w:rPr>
          <w:rFonts w:ascii="Times New Roman" w:hAnsi="Times New Roman" w:eastAsia="宋体"/>
          <w:b w:val="0"/>
          <w:i w:val="0"/>
          <w:color w:val="000000"/>
          <w:sz w:val="21"/>
        </w:rPr>
        <w:t>c) take into account applicable requirements;</w:t>
      </w:r>
    </w:p>
    <w:p w14:paraId="40AC96B8">
      <w:pPr>
        <w:spacing w:before="0" w:after="60"/>
        <w:ind w:left="357" w:hanging="357"/>
        <w:jc w:val="both"/>
      </w:pPr>
      <w:r>
        <w:rPr>
          <w:rFonts w:ascii="Times New Roman" w:hAnsi="Times New Roman" w:eastAsia="宋体"/>
          <w:b w:val="0"/>
          <w:i w:val="0"/>
          <w:color w:val="000000"/>
          <w:sz w:val="21"/>
        </w:rPr>
        <w:t>c) 考虑适用的要求；</w:t>
      </w:r>
    </w:p>
    <w:p w14:paraId="58A64140">
      <w:pPr>
        <w:keepNext/>
        <w:spacing w:before="20" w:after="0"/>
        <w:ind w:left="357" w:hanging="357"/>
        <w:jc w:val="both"/>
      </w:pPr>
      <w:r>
        <w:rPr>
          <w:rFonts w:ascii="Times New Roman" w:hAnsi="Times New Roman" w:eastAsia="宋体"/>
          <w:b w:val="0"/>
          <w:i w:val="0"/>
          <w:color w:val="000000"/>
          <w:sz w:val="21"/>
        </w:rPr>
        <w:t>d) be monitored;</w:t>
      </w:r>
    </w:p>
    <w:p w14:paraId="60383ECA">
      <w:pPr>
        <w:spacing w:before="0" w:after="60"/>
        <w:ind w:left="357" w:hanging="357"/>
        <w:jc w:val="both"/>
      </w:pPr>
      <w:r>
        <w:rPr>
          <w:rFonts w:ascii="Times New Roman" w:hAnsi="Times New Roman" w:eastAsia="宋体"/>
          <w:b w:val="0"/>
          <w:i w:val="0"/>
          <w:color w:val="000000"/>
          <w:sz w:val="21"/>
        </w:rPr>
        <w:t>d) 得到监视；</w:t>
      </w:r>
    </w:p>
    <w:p w14:paraId="4B681328">
      <w:pPr>
        <w:keepNext/>
        <w:spacing w:before="20" w:after="0"/>
        <w:ind w:left="357" w:hanging="357"/>
        <w:jc w:val="both"/>
      </w:pPr>
      <w:r>
        <w:rPr>
          <w:rFonts w:ascii="Times New Roman" w:hAnsi="Times New Roman" w:eastAsia="宋体"/>
          <w:b w:val="0"/>
          <w:i w:val="0"/>
          <w:color w:val="000000"/>
          <w:sz w:val="21"/>
        </w:rPr>
        <w:t>e) be communicated;</w:t>
      </w:r>
    </w:p>
    <w:p w14:paraId="46980880">
      <w:pPr>
        <w:spacing w:before="0" w:after="60"/>
        <w:ind w:left="357" w:hanging="357"/>
        <w:jc w:val="both"/>
      </w:pPr>
      <w:r>
        <w:rPr>
          <w:rFonts w:ascii="Times New Roman" w:hAnsi="Times New Roman" w:eastAsia="宋体"/>
          <w:b w:val="0"/>
          <w:i w:val="0"/>
          <w:color w:val="000000"/>
          <w:sz w:val="21"/>
        </w:rPr>
        <w:t>e) 得到沟通；</w:t>
      </w:r>
    </w:p>
    <w:p w14:paraId="5BE32472">
      <w:pPr>
        <w:keepNext/>
        <w:spacing w:before="20" w:after="0"/>
        <w:ind w:left="357" w:hanging="357"/>
        <w:jc w:val="both"/>
      </w:pPr>
      <w:r>
        <w:rPr>
          <w:rFonts w:ascii="Times New Roman" w:hAnsi="Times New Roman" w:eastAsia="宋体"/>
          <w:b w:val="0"/>
          <w:i w:val="0"/>
          <w:color w:val="000000"/>
          <w:sz w:val="21"/>
        </w:rPr>
        <w:t>f) be updated as appropriate;</w:t>
      </w:r>
    </w:p>
    <w:p w14:paraId="0054765F">
      <w:pPr>
        <w:spacing w:before="0" w:after="60"/>
        <w:ind w:left="357" w:hanging="357"/>
        <w:jc w:val="both"/>
      </w:pPr>
      <w:r>
        <w:rPr>
          <w:rFonts w:ascii="Times New Roman" w:hAnsi="Times New Roman" w:eastAsia="宋体"/>
          <w:b w:val="0"/>
          <w:i w:val="0"/>
          <w:color w:val="000000"/>
          <w:sz w:val="21"/>
        </w:rPr>
        <w:t>f) 适当时予以更新；</w:t>
      </w:r>
    </w:p>
    <w:p w14:paraId="2A7C38EE">
      <w:pPr>
        <w:keepNext/>
        <w:spacing w:before="20" w:after="0"/>
        <w:ind w:left="357" w:hanging="357"/>
        <w:jc w:val="both"/>
      </w:pPr>
      <w:r>
        <w:rPr>
          <w:rFonts w:ascii="Times New Roman" w:hAnsi="Times New Roman" w:eastAsia="宋体"/>
          <w:b w:val="0"/>
          <w:i w:val="0"/>
          <w:color w:val="000000"/>
          <w:sz w:val="21"/>
        </w:rPr>
        <w:t>g) be available as documented information;</w:t>
      </w:r>
    </w:p>
    <w:p w14:paraId="279D4F8E">
      <w:pPr>
        <w:spacing w:before="0" w:after="60"/>
        <w:ind w:left="357" w:hanging="357"/>
        <w:jc w:val="both"/>
      </w:pPr>
      <w:r>
        <w:rPr>
          <w:rFonts w:ascii="Times New Roman" w:hAnsi="Times New Roman" w:eastAsia="宋体"/>
          <w:b w:val="0"/>
          <w:i w:val="0"/>
          <w:color w:val="000000"/>
          <w:sz w:val="21"/>
        </w:rPr>
        <w:t>g) 作为成文信息可获得；</w:t>
      </w:r>
    </w:p>
    <w:p w14:paraId="7EA1D2AB">
      <w:pPr>
        <w:keepNext/>
        <w:spacing w:before="20" w:after="0"/>
        <w:ind w:left="357" w:hanging="357"/>
        <w:jc w:val="both"/>
      </w:pPr>
      <w:r>
        <w:rPr>
          <w:rFonts w:ascii="Times New Roman" w:hAnsi="Times New Roman" w:eastAsia="宋体"/>
          <w:b w:val="0"/>
          <w:i w:val="0"/>
          <w:color w:val="000000"/>
          <w:sz w:val="21"/>
        </w:rPr>
        <w:t>h) be relevant to the conformity of products and services and the ability to enhance customer satisfaction.</w:t>
      </w:r>
    </w:p>
    <w:p w14:paraId="7DE833C5">
      <w:pPr>
        <w:spacing w:before="0" w:after="60"/>
        <w:ind w:left="357" w:hanging="357"/>
        <w:jc w:val="both"/>
      </w:pPr>
      <w:r>
        <w:rPr>
          <w:rFonts w:ascii="Times New Roman" w:hAnsi="Times New Roman" w:eastAsia="宋体"/>
          <w:b w:val="0"/>
          <w:i w:val="0"/>
          <w:color w:val="000000"/>
          <w:sz w:val="21"/>
        </w:rPr>
        <w:t>h) 与产品和服务合格以及增强顾客满意的能力相关。</w:t>
      </w:r>
    </w:p>
    <w:p w14:paraId="011E39E9">
      <w:pPr>
        <w:keepNext/>
        <w:spacing w:before="60" w:after="0"/>
        <w:jc w:val="both"/>
      </w:pPr>
      <w:r>
        <w:rPr>
          <w:rFonts w:ascii="Times New Roman" w:hAnsi="Times New Roman" w:eastAsia="宋体"/>
          <w:b w:val="0"/>
          <w:i w:val="0"/>
          <w:color w:val="000000"/>
          <w:sz w:val="21"/>
        </w:rPr>
        <w:t>6.2.2　When planning how to achieve its quality objectives, the organization shall determine:</w:t>
      </w:r>
    </w:p>
    <w:p w14:paraId="06C1D4E2">
      <w:pPr>
        <w:spacing w:before="0" w:after="100"/>
        <w:jc w:val="both"/>
      </w:pPr>
      <w:r>
        <w:rPr>
          <w:rFonts w:ascii="Times New Roman" w:hAnsi="Times New Roman" w:eastAsia="宋体"/>
          <w:b w:val="0"/>
          <w:i w:val="0"/>
          <w:color w:val="000000"/>
          <w:sz w:val="21"/>
        </w:rPr>
        <w:t>6.2.2　在策划如何实现质量目标时，组织应确定：</w:t>
      </w:r>
    </w:p>
    <w:p w14:paraId="60695F5D">
      <w:pPr>
        <w:keepNext/>
        <w:spacing w:before="20" w:after="0"/>
        <w:ind w:left="357" w:hanging="357"/>
        <w:jc w:val="both"/>
      </w:pPr>
      <w:r>
        <w:rPr>
          <w:rFonts w:ascii="Times New Roman" w:hAnsi="Times New Roman" w:eastAsia="宋体"/>
          <w:b w:val="0"/>
          <w:i w:val="0"/>
          <w:color w:val="000000"/>
          <w:sz w:val="21"/>
        </w:rPr>
        <w:t>a) what will be done;</w:t>
      </w:r>
    </w:p>
    <w:p w14:paraId="503E13F3">
      <w:pPr>
        <w:spacing w:before="0" w:after="60"/>
        <w:ind w:left="357" w:hanging="357"/>
        <w:jc w:val="both"/>
      </w:pPr>
      <w:r>
        <w:rPr>
          <w:rFonts w:ascii="Times New Roman" w:hAnsi="Times New Roman" w:eastAsia="宋体"/>
          <w:b w:val="0"/>
          <w:i w:val="0"/>
          <w:color w:val="000000"/>
          <w:sz w:val="21"/>
        </w:rPr>
        <w:t>a) 将做什么；</w:t>
      </w:r>
    </w:p>
    <w:p w14:paraId="16DC0595">
      <w:pPr>
        <w:keepNext/>
        <w:spacing w:before="20" w:after="0"/>
        <w:ind w:left="357" w:hanging="357"/>
        <w:jc w:val="both"/>
      </w:pPr>
      <w:r>
        <w:rPr>
          <w:rFonts w:ascii="Times New Roman" w:hAnsi="Times New Roman" w:eastAsia="宋体"/>
          <w:b w:val="0"/>
          <w:i w:val="0"/>
          <w:color w:val="000000"/>
          <w:sz w:val="21"/>
        </w:rPr>
        <w:t>b) what resources will be required;</w:t>
      </w:r>
    </w:p>
    <w:p w14:paraId="52A3AC7C">
      <w:pPr>
        <w:spacing w:before="0" w:after="60"/>
        <w:ind w:left="357" w:hanging="357"/>
        <w:jc w:val="both"/>
      </w:pPr>
      <w:r>
        <w:rPr>
          <w:rFonts w:ascii="Times New Roman" w:hAnsi="Times New Roman" w:eastAsia="宋体"/>
          <w:b w:val="0"/>
          <w:i w:val="0"/>
          <w:color w:val="000000"/>
          <w:sz w:val="21"/>
        </w:rPr>
        <w:t>b) 需要哪些资源；</w:t>
      </w:r>
    </w:p>
    <w:p w14:paraId="503E4C9C">
      <w:pPr>
        <w:keepNext/>
        <w:spacing w:before="20" w:after="0"/>
        <w:ind w:left="357" w:hanging="357"/>
        <w:jc w:val="both"/>
      </w:pPr>
      <w:r>
        <w:rPr>
          <w:rFonts w:ascii="Times New Roman" w:hAnsi="Times New Roman" w:eastAsia="宋体"/>
          <w:b w:val="0"/>
          <w:i w:val="0"/>
          <w:color w:val="000000"/>
          <w:sz w:val="21"/>
        </w:rPr>
        <w:t>c) who will be responsible;</w:t>
      </w:r>
    </w:p>
    <w:p w14:paraId="529EDEC2">
      <w:pPr>
        <w:spacing w:before="0" w:after="60"/>
        <w:ind w:left="357" w:hanging="357"/>
        <w:jc w:val="both"/>
      </w:pPr>
      <w:r>
        <w:rPr>
          <w:rFonts w:ascii="Times New Roman" w:hAnsi="Times New Roman" w:eastAsia="宋体"/>
          <w:b w:val="0"/>
          <w:i w:val="0"/>
          <w:color w:val="000000"/>
          <w:sz w:val="21"/>
        </w:rPr>
        <w:t>c) 由谁负责；</w:t>
      </w:r>
    </w:p>
    <w:p w14:paraId="28E858B1">
      <w:pPr>
        <w:keepNext/>
        <w:spacing w:before="20" w:after="0"/>
        <w:ind w:left="357" w:hanging="357"/>
        <w:jc w:val="both"/>
      </w:pPr>
      <w:r>
        <w:rPr>
          <w:rFonts w:ascii="Times New Roman" w:hAnsi="Times New Roman" w:eastAsia="宋体"/>
          <w:b w:val="0"/>
          <w:i w:val="0"/>
          <w:color w:val="000000"/>
          <w:sz w:val="21"/>
        </w:rPr>
        <w:t>d) when it will be completed;</w:t>
      </w:r>
    </w:p>
    <w:p w14:paraId="2CD5DA75">
      <w:pPr>
        <w:spacing w:before="0" w:after="60"/>
        <w:ind w:left="357" w:hanging="357"/>
        <w:jc w:val="both"/>
      </w:pPr>
      <w:r>
        <w:rPr>
          <w:rFonts w:ascii="Times New Roman" w:hAnsi="Times New Roman" w:eastAsia="宋体"/>
          <w:b w:val="0"/>
          <w:i w:val="0"/>
          <w:color w:val="000000"/>
          <w:sz w:val="21"/>
        </w:rPr>
        <w:t>d) 何时完成；</w:t>
      </w:r>
    </w:p>
    <w:p w14:paraId="2E030DDE">
      <w:pPr>
        <w:keepNext/>
        <w:spacing w:before="20" w:after="0"/>
        <w:ind w:left="357" w:hanging="357"/>
        <w:jc w:val="both"/>
      </w:pPr>
      <w:r>
        <w:rPr>
          <w:rFonts w:ascii="Times New Roman" w:hAnsi="Times New Roman" w:eastAsia="宋体"/>
          <w:b w:val="0"/>
          <w:i w:val="0"/>
          <w:color w:val="000000"/>
          <w:sz w:val="21"/>
        </w:rPr>
        <w:t>e) how the results will be evaluated.</w:t>
      </w:r>
    </w:p>
    <w:p w14:paraId="4888BF54">
      <w:pPr>
        <w:spacing w:before="0" w:after="60"/>
        <w:ind w:left="357" w:hanging="357"/>
        <w:jc w:val="both"/>
      </w:pPr>
      <w:r>
        <w:rPr>
          <w:rFonts w:ascii="Times New Roman" w:hAnsi="Times New Roman" w:eastAsia="宋体"/>
          <w:b w:val="0"/>
          <w:i w:val="0"/>
          <w:color w:val="000000"/>
          <w:sz w:val="21"/>
        </w:rPr>
        <w:t>e) 如何评价结果。</w:t>
      </w:r>
    </w:p>
    <w:p w14:paraId="1096423C">
      <w:pPr>
        <w:keepNext/>
        <w:spacing w:before="240" w:after="0"/>
        <w:jc w:val="left"/>
      </w:pPr>
      <w:r>
        <w:rPr>
          <w:rFonts w:ascii="Times New Roman" w:hAnsi="Times New Roman" w:eastAsia="宋体"/>
          <w:b/>
          <w:i w:val="0"/>
          <w:color w:val="000000"/>
          <w:sz w:val="24"/>
        </w:rPr>
        <w:t>6.3  Planning of changes</w:t>
      </w:r>
    </w:p>
    <w:p w14:paraId="729D5669">
      <w:pPr>
        <w:spacing w:before="0" w:after="80"/>
        <w:jc w:val="left"/>
      </w:pPr>
      <w:r>
        <w:rPr>
          <w:rFonts w:ascii="Times New Roman" w:hAnsi="Times New Roman" w:eastAsia="黑体"/>
          <w:b w:val="0"/>
          <w:i w:val="0"/>
          <w:color w:val="000000"/>
          <w:sz w:val="24"/>
        </w:rPr>
        <w:t>6.3  变更的策划</w:t>
      </w:r>
    </w:p>
    <w:p w14:paraId="01BF31CF">
      <w:pPr>
        <w:keepNext/>
        <w:spacing w:before="60" w:after="0"/>
        <w:jc w:val="both"/>
      </w:pPr>
      <w:r>
        <w:rPr>
          <w:rFonts w:ascii="Times New Roman" w:hAnsi="Times New Roman" w:eastAsia="宋体"/>
          <w:b w:val="0"/>
          <w:i w:val="0"/>
          <w:color w:val="000000"/>
          <w:sz w:val="21"/>
        </w:rPr>
        <w:t>When the organization determines the need for changes to the quality management system, the changes shall be carried out in a planned manner.</w:t>
      </w:r>
    </w:p>
    <w:p w14:paraId="4ECB73DD">
      <w:pPr>
        <w:spacing w:before="0" w:after="100"/>
        <w:jc w:val="both"/>
      </w:pPr>
      <w:r>
        <w:rPr>
          <w:rFonts w:ascii="Times New Roman" w:hAnsi="Times New Roman" w:eastAsia="宋体"/>
          <w:b w:val="0"/>
          <w:i w:val="0"/>
          <w:color w:val="000000"/>
          <w:sz w:val="21"/>
        </w:rPr>
        <w:t>当组织确定需要变更质量管理体系时，变更应以策划的方式实施。</w:t>
      </w:r>
    </w:p>
    <w:p w14:paraId="19B11DE5">
      <w:pPr>
        <w:keepNext/>
        <w:spacing w:before="60" w:after="0"/>
        <w:jc w:val="both"/>
      </w:pPr>
      <w:r>
        <w:rPr>
          <w:rFonts w:ascii="Times New Roman" w:hAnsi="Times New Roman" w:eastAsia="宋体"/>
          <w:b w:val="0"/>
          <w:i w:val="0"/>
          <w:color w:val="000000"/>
          <w:sz w:val="21"/>
        </w:rPr>
        <w:t>To ensure changes are implemented effectively to achieve intended results, the organization shall consider:</w:t>
      </w:r>
    </w:p>
    <w:p w14:paraId="14652B82">
      <w:pPr>
        <w:spacing w:before="0" w:after="100"/>
        <w:jc w:val="both"/>
      </w:pPr>
      <w:r>
        <w:rPr>
          <w:rFonts w:ascii="Times New Roman" w:hAnsi="Times New Roman" w:eastAsia="宋体"/>
          <w:b w:val="0"/>
          <w:i w:val="0"/>
          <w:color w:val="000000"/>
          <w:sz w:val="21"/>
        </w:rPr>
        <w:t>为确保变更得到有效实施以实现预期结果，组织应考虑：</w:t>
      </w:r>
    </w:p>
    <w:p w14:paraId="5E346ABE">
      <w:pPr>
        <w:keepNext/>
        <w:spacing w:before="20" w:after="0"/>
        <w:ind w:left="357" w:hanging="357"/>
        <w:jc w:val="both"/>
      </w:pPr>
      <w:r>
        <w:rPr>
          <w:rFonts w:ascii="Times New Roman" w:hAnsi="Times New Roman" w:eastAsia="宋体"/>
          <w:b w:val="0"/>
          <w:i w:val="0"/>
          <w:color w:val="000000"/>
          <w:sz w:val="21"/>
        </w:rPr>
        <w:t>a) the purpose of the changes and their potential consequences;</w:t>
      </w:r>
    </w:p>
    <w:p w14:paraId="563CDCD0">
      <w:pPr>
        <w:spacing w:before="0" w:after="60"/>
        <w:ind w:left="357" w:hanging="357"/>
        <w:jc w:val="both"/>
      </w:pPr>
      <w:r>
        <w:rPr>
          <w:rFonts w:ascii="Times New Roman" w:hAnsi="Times New Roman" w:eastAsia="宋体"/>
          <w:b w:val="0"/>
          <w:i w:val="0"/>
          <w:color w:val="000000"/>
          <w:sz w:val="21"/>
        </w:rPr>
        <w:t>a) 变更的目的及其潜在后果；</w:t>
      </w:r>
    </w:p>
    <w:p w14:paraId="7159F343">
      <w:pPr>
        <w:keepNext/>
        <w:spacing w:before="20" w:after="0"/>
        <w:ind w:left="357" w:hanging="357"/>
        <w:jc w:val="both"/>
      </w:pPr>
      <w:r>
        <w:rPr>
          <w:rFonts w:ascii="Times New Roman" w:hAnsi="Times New Roman" w:eastAsia="宋体"/>
          <w:b w:val="0"/>
          <w:i w:val="0"/>
          <w:color w:val="000000"/>
          <w:sz w:val="21"/>
        </w:rPr>
        <w:t>b) the potential impact on the integrity of the quality management system;</w:t>
      </w:r>
    </w:p>
    <w:p w14:paraId="19250BCC">
      <w:pPr>
        <w:spacing w:before="0" w:after="60"/>
        <w:ind w:left="357" w:hanging="357"/>
        <w:jc w:val="both"/>
      </w:pPr>
      <w:r>
        <w:rPr>
          <w:rFonts w:ascii="Times New Roman" w:hAnsi="Times New Roman" w:eastAsia="宋体"/>
          <w:b w:val="0"/>
          <w:i w:val="0"/>
          <w:color w:val="000000"/>
          <w:sz w:val="21"/>
        </w:rPr>
        <w:t>b) 对质量管理体系完整性的潜在影响；</w:t>
      </w:r>
    </w:p>
    <w:p w14:paraId="32CD3333">
      <w:pPr>
        <w:keepNext/>
        <w:spacing w:before="20" w:after="0"/>
        <w:ind w:left="357" w:hanging="357"/>
        <w:jc w:val="both"/>
      </w:pPr>
      <w:r>
        <w:rPr>
          <w:rFonts w:ascii="Times New Roman" w:hAnsi="Times New Roman" w:eastAsia="宋体"/>
          <w:b w:val="0"/>
          <w:i w:val="0"/>
          <w:color w:val="000000"/>
          <w:sz w:val="21"/>
        </w:rPr>
        <w:t>c) the availability of resources and information;</w:t>
      </w:r>
    </w:p>
    <w:p w14:paraId="2A6F670C">
      <w:pPr>
        <w:spacing w:before="0" w:after="60"/>
        <w:ind w:left="357" w:hanging="357"/>
        <w:jc w:val="both"/>
      </w:pPr>
      <w:r>
        <w:rPr>
          <w:rFonts w:ascii="Times New Roman" w:hAnsi="Times New Roman" w:eastAsia="宋体"/>
          <w:b w:val="0"/>
          <w:i w:val="0"/>
          <w:color w:val="000000"/>
          <w:sz w:val="21"/>
        </w:rPr>
        <w:t>c) 资源和信息的可获得性；</w:t>
      </w:r>
    </w:p>
    <w:p w14:paraId="1C85CCDB">
      <w:pPr>
        <w:keepNext/>
        <w:spacing w:before="20" w:after="0"/>
        <w:ind w:left="357" w:hanging="357"/>
        <w:jc w:val="both"/>
      </w:pPr>
      <w:r>
        <w:rPr>
          <w:rFonts w:ascii="Times New Roman" w:hAnsi="Times New Roman" w:eastAsia="宋体"/>
          <w:b w:val="0"/>
          <w:i w:val="0"/>
          <w:color w:val="000000"/>
          <w:sz w:val="21"/>
        </w:rPr>
        <w:t>d) the allocation or reallocation of responsibilities and authorities;</w:t>
      </w:r>
    </w:p>
    <w:p w14:paraId="23E2309C">
      <w:pPr>
        <w:spacing w:before="0" w:after="60"/>
        <w:ind w:left="357" w:hanging="357"/>
        <w:jc w:val="both"/>
      </w:pPr>
      <w:r>
        <w:rPr>
          <w:rFonts w:ascii="Times New Roman" w:hAnsi="Times New Roman" w:eastAsia="宋体"/>
          <w:b w:val="0"/>
          <w:i w:val="0"/>
          <w:color w:val="000000"/>
          <w:sz w:val="21"/>
        </w:rPr>
        <w:t>d) 职责和权限的分配或再分配；</w:t>
      </w:r>
    </w:p>
    <w:p w14:paraId="0D0AA976">
      <w:pPr>
        <w:keepNext/>
        <w:spacing w:before="20" w:after="0"/>
        <w:ind w:left="357" w:hanging="357"/>
        <w:jc w:val="both"/>
      </w:pPr>
      <w:r>
        <w:rPr>
          <w:rFonts w:ascii="Times New Roman" w:hAnsi="Times New Roman" w:eastAsia="宋体"/>
          <w:b w:val="0"/>
          <w:i w:val="0"/>
          <w:color w:val="000000"/>
          <w:sz w:val="21"/>
        </w:rPr>
        <w:t>e) the communication of the changes;</w:t>
      </w:r>
    </w:p>
    <w:p w14:paraId="20DA5AC9">
      <w:pPr>
        <w:spacing w:before="0" w:after="60"/>
        <w:ind w:left="357" w:hanging="357"/>
        <w:jc w:val="both"/>
      </w:pPr>
      <w:r>
        <w:rPr>
          <w:rFonts w:ascii="Times New Roman" w:hAnsi="Times New Roman" w:eastAsia="宋体"/>
          <w:b w:val="0"/>
          <w:i w:val="0"/>
          <w:color w:val="000000"/>
          <w:sz w:val="21"/>
        </w:rPr>
        <w:t>e) 变更的沟通；</w:t>
      </w:r>
    </w:p>
    <w:p w14:paraId="67A26003">
      <w:pPr>
        <w:keepNext/>
        <w:spacing w:before="20" w:after="0"/>
        <w:ind w:left="357" w:hanging="357"/>
        <w:jc w:val="both"/>
      </w:pPr>
      <w:r>
        <w:rPr>
          <w:rFonts w:ascii="Times New Roman" w:hAnsi="Times New Roman" w:eastAsia="宋体"/>
          <w:b w:val="0"/>
          <w:i w:val="0"/>
          <w:color w:val="000000"/>
          <w:sz w:val="21"/>
        </w:rPr>
        <w:t>f) how the effectiveness of the changes will be monitored and evaluated;</w:t>
      </w:r>
    </w:p>
    <w:p w14:paraId="1E49B23E">
      <w:pPr>
        <w:spacing w:before="0" w:after="60"/>
        <w:ind w:left="357" w:hanging="357"/>
        <w:jc w:val="both"/>
      </w:pPr>
      <w:r>
        <w:rPr>
          <w:rFonts w:ascii="Times New Roman" w:hAnsi="Times New Roman" w:eastAsia="宋体"/>
          <w:b w:val="0"/>
          <w:i w:val="0"/>
          <w:color w:val="000000"/>
          <w:sz w:val="21"/>
        </w:rPr>
        <w:t>f) 如何监视和评价变更的有效性；</w:t>
      </w:r>
    </w:p>
    <w:p w14:paraId="592CAEA1">
      <w:pPr>
        <w:keepNext/>
        <w:spacing w:before="20" w:after="0"/>
        <w:ind w:left="357" w:hanging="357"/>
        <w:jc w:val="both"/>
      </w:pPr>
      <w:r>
        <w:rPr>
          <w:rFonts w:ascii="Times New Roman" w:hAnsi="Times New Roman" w:eastAsia="宋体"/>
          <w:b w:val="0"/>
          <w:i w:val="0"/>
          <w:color w:val="000000"/>
          <w:sz w:val="21"/>
        </w:rPr>
        <w:t>g) how the results of the changes will be reviewed.</w:t>
      </w:r>
    </w:p>
    <w:p w14:paraId="53E8FD64">
      <w:pPr>
        <w:spacing w:before="0" w:after="60"/>
        <w:ind w:left="357" w:hanging="357"/>
        <w:jc w:val="both"/>
      </w:pPr>
      <w:r>
        <w:rPr>
          <w:rFonts w:ascii="Times New Roman" w:hAnsi="Times New Roman" w:eastAsia="宋体"/>
          <w:b w:val="0"/>
          <w:i w:val="0"/>
          <w:color w:val="000000"/>
          <w:sz w:val="21"/>
        </w:rPr>
        <w:t>g) 如何评审变更的结果。</w:t>
      </w:r>
    </w:p>
    <w:p w14:paraId="4CDFDC2C">
      <w:pPr>
        <w:keepNext/>
        <w:spacing w:before="320" w:after="0"/>
        <w:jc w:val="left"/>
      </w:pPr>
      <w:r>
        <w:rPr>
          <w:rFonts w:ascii="Times New Roman" w:hAnsi="Times New Roman" w:eastAsia="宋体"/>
          <w:b/>
          <w:i w:val="0"/>
          <w:color w:val="000000"/>
          <w:sz w:val="28"/>
        </w:rPr>
        <w:t>7  Support</w:t>
      </w:r>
    </w:p>
    <w:p w14:paraId="7A3D76E6">
      <w:pPr>
        <w:pBdr>
          <w:bottom w:val="single" w:color="C01E2E" w:sz="8" w:space="2"/>
        </w:pBdr>
        <w:spacing w:before="0" w:after="100"/>
        <w:jc w:val="left"/>
      </w:pPr>
      <w:r>
        <w:rPr>
          <w:rFonts w:ascii="Times New Roman" w:hAnsi="Times New Roman" w:eastAsia="黑体"/>
          <w:b w:val="0"/>
          <w:i w:val="0"/>
          <w:color w:val="000000"/>
          <w:sz w:val="28"/>
        </w:rPr>
        <w:t>7  支持</w:t>
      </w:r>
    </w:p>
    <w:p w14:paraId="462503F9">
      <w:pPr>
        <w:keepNext/>
        <w:spacing w:before="240" w:after="0"/>
        <w:jc w:val="left"/>
      </w:pPr>
      <w:r>
        <w:rPr>
          <w:rFonts w:ascii="Times New Roman" w:hAnsi="Times New Roman" w:eastAsia="宋体"/>
          <w:b/>
          <w:i w:val="0"/>
          <w:color w:val="000000"/>
          <w:sz w:val="24"/>
        </w:rPr>
        <w:t>7.1  Resources</w:t>
      </w:r>
    </w:p>
    <w:p w14:paraId="3247A697">
      <w:pPr>
        <w:spacing w:before="0" w:after="80"/>
        <w:jc w:val="left"/>
      </w:pPr>
      <w:r>
        <w:rPr>
          <w:rFonts w:ascii="Times New Roman" w:hAnsi="Times New Roman" w:eastAsia="黑体"/>
          <w:b w:val="0"/>
          <w:i w:val="0"/>
          <w:color w:val="000000"/>
          <w:sz w:val="24"/>
        </w:rPr>
        <w:t>7.1  资源</w:t>
      </w:r>
    </w:p>
    <w:p w14:paraId="6EA0028C">
      <w:pPr>
        <w:keepNext/>
        <w:spacing w:before="200" w:after="0"/>
        <w:jc w:val="left"/>
      </w:pPr>
      <w:r>
        <w:rPr>
          <w:rFonts w:ascii="Times New Roman" w:hAnsi="Times New Roman" w:eastAsia="宋体"/>
          <w:b/>
          <w:i w:val="0"/>
          <w:color w:val="000000"/>
          <w:sz w:val="22"/>
        </w:rPr>
        <w:t>7.1.1  General</w:t>
      </w:r>
    </w:p>
    <w:p w14:paraId="085EC47C">
      <w:pPr>
        <w:spacing w:before="0" w:after="80"/>
        <w:jc w:val="left"/>
      </w:pPr>
      <w:r>
        <w:rPr>
          <w:rFonts w:ascii="Times New Roman" w:hAnsi="Times New Roman" w:eastAsia="黑体"/>
          <w:b w:val="0"/>
          <w:i w:val="0"/>
          <w:color w:val="000000"/>
          <w:sz w:val="22"/>
        </w:rPr>
        <w:t>7.1.1  总则</w:t>
      </w:r>
    </w:p>
    <w:p w14:paraId="1A65BC71">
      <w:pPr>
        <w:keepNext/>
        <w:spacing w:before="60" w:after="0"/>
        <w:jc w:val="both"/>
      </w:pPr>
      <w:r>
        <w:rPr>
          <w:rFonts w:ascii="Times New Roman" w:hAnsi="Times New Roman" w:eastAsia="宋体"/>
          <w:b w:val="0"/>
          <w:i w:val="0"/>
          <w:color w:val="000000"/>
          <w:sz w:val="21"/>
        </w:rPr>
        <w:t>The organization shall determine and provide the resources needed for the establishment, implementation, maintenance and continual improvement of the quality management system.</w:t>
      </w:r>
    </w:p>
    <w:p w14:paraId="10EB1604">
      <w:pPr>
        <w:spacing w:before="0" w:after="100"/>
        <w:jc w:val="both"/>
      </w:pPr>
      <w:r>
        <w:rPr>
          <w:rFonts w:ascii="Times New Roman" w:hAnsi="Times New Roman" w:eastAsia="宋体"/>
          <w:b w:val="0"/>
          <w:i w:val="0"/>
          <w:color w:val="000000"/>
          <w:sz w:val="21"/>
        </w:rPr>
        <w:t>组织应确定并提供为建立、实施、保持和持续改进质量管理体系所需的资源。</w:t>
      </w:r>
    </w:p>
    <w:p w14:paraId="5C69279B">
      <w:pPr>
        <w:keepNext/>
        <w:spacing w:before="60" w:after="0"/>
        <w:jc w:val="both"/>
      </w:pPr>
      <w:r>
        <w:rPr>
          <w:rFonts w:ascii="Times New Roman" w:hAnsi="Times New Roman" w:eastAsia="宋体"/>
          <w:b w:val="0"/>
          <w:i w:val="0"/>
          <w:color w:val="000000"/>
          <w:sz w:val="21"/>
        </w:rPr>
        <w:t>The organization shall consider:</w:t>
      </w:r>
    </w:p>
    <w:p w14:paraId="3F70EB6D">
      <w:pPr>
        <w:spacing w:before="0" w:after="100"/>
        <w:jc w:val="both"/>
      </w:pPr>
      <w:r>
        <w:rPr>
          <w:rFonts w:ascii="Times New Roman" w:hAnsi="Times New Roman" w:eastAsia="宋体"/>
          <w:b w:val="0"/>
          <w:i w:val="0"/>
          <w:color w:val="000000"/>
          <w:sz w:val="21"/>
        </w:rPr>
        <w:t>组织应考虑：</w:t>
      </w:r>
    </w:p>
    <w:p w14:paraId="7821B3E6">
      <w:pPr>
        <w:keepNext/>
        <w:spacing w:before="20" w:after="0"/>
        <w:ind w:left="357" w:hanging="357"/>
        <w:jc w:val="both"/>
      </w:pPr>
      <w:r>
        <w:rPr>
          <w:rFonts w:ascii="Times New Roman" w:hAnsi="Times New Roman" w:eastAsia="宋体"/>
          <w:b w:val="0"/>
          <w:i w:val="0"/>
          <w:color w:val="000000"/>
          <w:sz w:val="21"/>
        </w:rPr>
        <w:t>a) the capabilities of, and constraints on, existing internal resources;</w:t>
      </w:r>
    </w:p>
    <w:p w14:paraId="54ABC792">
      <w:pPr>
        <w:spacing w:before="0" w:after="60"/>
        <w:ind w:left="357" w:hanging="357"/>
        <w:jc w:val="both"/>
      </w:pPr>
      <w:r>
        <w:rPr>
          <w:rFonts w:ascii="Times New Roman" w:hAnsi="Times New Roman" w:eastAsia="宋体"/>
          <w:b w:val="0"/>
          <w:i w:val="0"/>
          <w:color w:val="000000"/>
          <w:sz w:val="21"/>
        </w:rPr>
        <w:t>a) 现有内部资源的能力和约束；</w:t>
      </w:r>
    </w:p>
    <w:p w14:paraId="22C28CCD">
      <w:pPr>
        <w:keepNext/>
        <w:spacing w:before="20" w:after="0"/>
        <w:ind w:left="357" w:hanging="357"/>
        <w:jc w:val="both"/>
      </w:pPr>
      <w:r>
        <w:rPr>
          <w:rFonts w:ascii="Times New Roman" w:hAnsi="Times New Roman" w:eastAsia="宋体"/>
          <w:b w:val="0"/>
          <w:i w:val="0"/>
          <w:color w:val="000000"/>
          <w:sz w:val="21"/>
        </w:rPr>
        <w:t>b) what needs to be obtained from external providers.</w:t>
      </w:r>
    </w:p>
    <w:p w14:paraId="6C24089F">
      <w:pPr>
        <w:spacing w:before="0" w:after="60"/>
        <w:ind w:left="357" w:hanging="357"/>
        <w:jc w:val="both"/>
      </w:pPr>
      <w:r>
        <w:rPr>
          <w:rFonts w:ascii="Times New Roman" w:hAnsi="Times New Roman" w:eastAsia="宋体"/>
          <w:b w:val="0"/>
          <w:i w:val="0"/>
          <w:color w:val="000000"/>
          <w:sz w:val="21"/>
        </w:rPr>
        <w:t>b) 需要从外部供方获得的资源。</w:t>
      </w:r>
    </w:p>
    <w:p w14:paraId="7C3B1448">
      <w:pPr>
        <w:keepNext/>
        <w:spacing w:before="200" w:after="0"/>
        <w:jc w:val="left"/>
      </w:pPr>
      <w:r>
        <w:rPr>
          <w:rFonts w:ascii="Times New Roman" w:hAnsi="Times New Roman" w:eastAsia="宋体"/>
          <w:b/>
          <w:i w:val="0"/>
          <w:color w:val="000000"/>
          <w:sz w:val="22"/>
        </w:rPr>
        <w:t>7.1.2  People</w:t>
      </w:r>
    </w:p>
    <w:p w14:paraId="249526BB">
      <w:pPr>
        <w:spacing w:before="0" w:after="80"/>
        <w:jc w:val="left"/>
      </w:pPr>
      <w:r>
        <w:rPr>
          <w:rFonts w:ascii="Times New Roman" w:hAnsi="Times New Roman" w:eastAsia="黑体"/>
          <w:b w:val="0"/>
          <w:i w:val="0"/>
          <w:color w:val="000000"/>
          <w:sz w:val="22"/>
        </w:rPr>
        <w:t>7.1.2  人员</w:t>
      </w:r>
    </w:p>
    <w:p w14:paraId="4A2BE705">
      <w:pPr>
        <w:keepNext/>
        <w:spacing w:before="60" w:after="0"/>
        <w:jc w:val="both"/>
      </w:pPr>
      <w:r>
        <w:rPr>
          <w:rFonts w:ascii="Times New Roman" w:hAnsi="Times New Roman" w:eastAsia="宋体"/>
          <w:b w:val="0"/>
          <w:i w:val="0"/>
          <w:color w:val="000000"/>
          <w:sz w:val="21"/>
        </w:rPr>
        <w:t>The organization shall determine and provide the persons necessary for the effective implementation of its quality management system and for the operation and control of its processes.</w:t>
      </w:r>
    </w:p>
    <w:p w14:paraId="378CD116">
      <w:pPr>
        <w:spacing w:before="0" w:after="100"/>
        <w:jc w:val="both"/>
      </w:pPr>
      <w:r>
        <w:rPr>
          <w:rFonts w:ascii="Times New Roman" w:hAnsi="Times New Roman" w:eastAsia="宋体"/>
          <w:b w:val="0"/>
          <w:i w:val="0"/>
          <w:color w:val="000000"/>
          <w:sz w:val="21"/>
        </w:rPr>
        <w:t>组织应确定并提供为有效实施其质量管理体系以及运行和控制其过程所需的人员。</w:t>
      </w:r>
    </w:p>
    <w:p w14:paraId="081B27AD">
      <w:pPr>
        <w:keepNext/>
        <w:spacing w:before="200" w:after="0"/>
        <w:jc w:val="left"/>
      </w:pPr>
      <w:r>
        <w:rPr>
          <w:rFonts w:ascii="Times New Roman" w:hAnsi="Times New Roman" w:eastAsia="宋体"/>
          <w:b/>
          <w:i w:val="0"/>
          <w:color w:val="000000"/>
          <w:sz w:val="22"/>
        </w:rPr>
        <w:t>7.1.3  Infrastructure</w:t>
      </w:r>
    </w:p>
    <w:p w14:paraId="40B9E754">
      <w:pPr>
        <w:spacing w:before="0" w:after="80"/>
        <w:jc w:val="left"/>
      </w:pPr>
      <w:r>
        <w:rPr>
          <w:rFonts w:ascii="Times New Roman" w:hAnsi="Times New Roman" w:eastAsia="黑体"/>
          <w:b w:val="0"/>
          <w:i w:val="0"/>
          <w:color w:val="000000"/>
          <w:sz w:val="22"/>
        </w:rPr>
        <w:t>7.1.3  基础设施</w:t>
      </w:r>
    </w:p>
    <w:p w14:paraId="540CF5F7">
      <w:pPr>
        <w:keepNext/>
        <w:spacing w:before="60" w:after="0"/>
        <w:jc w:val="both"/>
      </w:pPr>
      <w:r>
        <w:rPr>
          <w:rFonts w:ascii="Times New Roman" w:hAnsi="Times New Roman" w:eastAsia="宋体"/>
          <w:b w:val="0"/>
          <w:i w:val="0"/>
          <w:color w:val="000000"/>
          <w:sz w:val="21"/>
        </w:rPr>
        <w:t>The organization shall determine, provide and maintain the infrastructure necessary for the operation of its processes and to achieve conformity of products and services.</w:t>
      </w:r>
    </w:p>
    <w:p w14:paraId="7FA918A7">
      <w:pPr>
        <w:spacing w:before="0" w:after="100"/>
        <w:jc w:val="both"/>
      </w:pPr>
      <w:r>
        <w:rPr>
          <w:rFonts w:ascii="Times New Roman" w:hAnsi="Times New Roman" w:eastAsia="宋体"/>
          <w:b w:val="0"/>
          <w:i w:val="0"/>
          <w:color w:val="000000"/>
          <w:sz w:val="21"/>
        </w:rPr>
        <w:t>组织应确定、提供并维护其过程运行所需的基础设施，以实现产品和服务的合格。</w:t>
      </w:r>
    </w:p>
    <w:p w14:paraId="50D8BF27">
      <w:pPr>
        <w:keepNext/>
        <w:spacing w:before="20" w:after="0"/>
        <w:ind w:left="227"/>
        <w:jc w:val="both"/>
      </w:pPr>
      <w:r>
        <w:rPr>
          <w:rFonts w:ascii="Times New Roman" w:hAnsi="Times New Roman" w:eastAsia="宋体"/>
          <w:b w:val="0"/>
          <w:i/>
          <w:color w:val="000000"/>
          <w:sz w:val="20"/>
        </w:rPr>
        <w:t>NOTE — For all types of work (e.g. on site, remote or a combination thereof) infrastructure can include:</w:t>
      </w:r>
    </w:p>
    <w:p w14:paraId="66FA86F5">
      <w:pPr>
        <w:spacing w:before="0" w:after="100"/>
        <w:ind w:left="227"/>
        <w:jc w:val="both"/>
      </w:pPr>
      <w:r>
        <w:rPr>
          <w:rFonts w:ascii="Times New Roman" w:hAnsi="Times New Roman" w:eastAsia="宋体"/>
          <w:b w:val="0"/>
          <w:i w:val="0"/>
          <w:color w:val="000000"/>
          <w:sz w:val="20"/>
        </w:rPr>
        <w:t>注：对于所有类型的工作（如现场、远程或其组合），基础设施可包括：</w:t>
      </w:r>
    </w:p>
    <w:p w14:paraId="2ED5346F">
      <w:pPr>
        <w:keepNext/>
        <w:spacing w:before="20" w:after="0"/>
        <w:ind w:left="357" w:hanging="357"/>
        <w:jc w:val="both"/>
      </w:pPr>
      <w:r>
        <w:rPr>
          <w:rFonts w:ascii="Times New Roman" w:hAnsi="Times New Roman" w:eastAsia="宋体"/>
          <w:b w:val="0"/>
          <w:i w:val="0"/>
          <w:color w:val="000000"/>
          <w:sz w:val="21"/>
        </w:rPr>
        <w:t>a) buildings and associated utilities;</w:t>
      </w:r>
    </w:p>
    <w:p w14:paraId="071153CC">
      <w:pPr>
        <w:spacing w:before="0" w:after="60"/>
        <w:ind w:left="357" w:hanging="357"/>
        <w:jc w:val="both"/>
      </w:pPr>
      <w:r>
        <w:rPr>
          <w:rFonts w:ascii="Times New Roman" w:hAnsi="Times New Roman" w:eastAsia="宋体"/>
          <w:b w:val="0"/>
          <w:i w:val="0"/>
          <w:color w:val="000000"/>
          <w:sz w:val="21"/>
        </w:rPr>
        <w:t>a) 建筑物和相关公用设施；</w:t>
      </w:r>
    </w:p>
    <w:p w14:paraId="7B797E11">
      <w:pPr>
        <w:keepNext/>
        <w:spacing w:before="20" w:after="0"/>
        <w:ind w:left="357" w:hanging="357"/>
        <w:jc w:val="both"/>
      </w:pPr>
      <w:r>
        <w:rPr>
          <w:rFonts w:ascii="Times New Roman" w:hAnsi="Times New Roman" w:eastAsia="宋体"/>
          <w:b w:val="0"/>
          <w:i w:val="0"/>
          <w:color w:val="000000"/>
          <w:sz w:val="21"/>
        </w:rPr>
        <w:t>b) equipment, including hardware and software;</w:t>
      </w:r>
    </w:p>
    <w:p w14:paraId="404945C2">
      <w:pPr>
        <w:spacing w:before="0" w:after="60"/>
        <w:ind w:left="357" w:hanging="357"/>
        <w:jc w:val="both"/>
      </w:pPr>
      <w:r>
        <w:rPr>
          <w:rFonts w:ascii="Times New Roman" w:hAnsi="Times New Roman" w:eastAsia="宋体"/>
          <w:b w:val="0"/>
          <w:i w:val="0"/>
          <w:color w:val="000000"/>
          <w:sz w:val="21"/>
        </w:rPr>
        <w:t>b) 设备（包括硬件和软件）；</w:t>
      </w:r>
    </w:p>
    <w:p w14:paraId="27AC59D8">
      <w:pPr>
        <w:keepNext/>
        <w:spacing w:before="20" w:after="0"/>
        <w:ind w:left="357" w:hanging="357"/>
        <w:jc w:val="both"/>
      </w:pPr>
      <w:r>
        <w:rPr>
          <w:rFonts w:ascii="Times New Roman" w:hAnsi="Times New Roman" w:eastAsia="宋体"/>
          <w:b w:val="0"/>
          <w:i w:val="0"/>
          <w:color w:val="000000"/>
          <w:sz w:val="21"/>
        </w:rPr>
        <w:t>c) transportation resources;</w:t>
      </w:r>
    </w:p>
    <w:p w14:paraId="2102C13E">
      <w:pPr>
        <w:spacing w:before="0" w:after="60"/>
        <w:ind w:left="357" w:hanging="357"/>
        <w:jc w:val="both"/>
      </w:pPr>
      <w:r>
        <w:rPr>
          <w:rFonts w:ascii="Times New Roman" w:hAnsi="Times New Roman" w:eastAsia="宋体"/>
          <w:b w:val="0"/>
          <w:i w:val="0"/>
          <w:color w:val="000000"/>
          <w:sz w:val="21"/>
        </w:rPr>
        <w:t>c) 运输资源；</w:t>
      </w:r>
    </w:p>
    <w:p w14:paraId="22076585">
      <w:pPr>
        <w:keepNext/>
        <w:spacing w:before="20" w:after="0"/>
        <w:ind w:left="357" w:hanging="357"/>
        <w:jc w:val="both"/>
      </w:pPr>
      <w:r>
        <w:rPr>
          <w:rFonts w:ascii="Times New Roman" w:hAnsi="Times New Roman" w:eastAsia="宋体"/>
          <w:b w:val="0"/>
          <w:i w:val="0"/>
          <w:color w:val="000000"/>
          <w:sz w:val="21"/>
        </w:rPr>
        <w:t>d) information and communication technology.</w:t>
      </w:r>
    </w:p>
    <w:p w14:paraId="04472F60">
      <w:pPr>
        <w:spacing w:before="0" w:after="60"/>
        <w:ind w:left="357" w:hanging="357"/>
        <w:jc w:val="both"/>
      </w:pPr>
      <w:r>
        <w:rPr>
          <w:rFonts w:ascii="Times New Roman" w:hAnsi="Times New Roman" w:eastAsia="宋体"/>
          <w:b w:val="0"/>
          <w:i w:val="0"/>
          <w:color w:val="000000"/>
          <w:sz w:val="21"/>
        </w:rPr>
        <w:t>d) 信息和通信技术。</w:t>
      </w:r>
    </w:p>
    <w:p w14:paraId="4606B7A2">
      <w:pPr>
        <w:keepNext/>
        <w:spacing w:before="200" w:after="0"/>
        <w:jc w:val="left"/>
      </w:pPr>
      <w:r>
        <w:rPr>
          <w:rFonts w:ascii="Times New Roman" w:hAnsi="Times New Roman" w:eastAsia="宋体"/>
          <w:b/>
          <w:i w:val="0"/>
          <w:color w:val="000000"/>
          <w:sz w:val="22"/>
        </w:rPr>
        <w:t>7.1.4  Environment for the operation of processes</w:t>
      </w:r>
    </w:p>
    <w:p w14:paraId="7773CAAA">
      <w:pPr>
        <w:spacing w:before="0" w:after="80"/>
        <w:jc w:val="left"/>
      </w:pPr>
      <w:r>
        <w:rPr>
          <w:rFonts w:ascii="Times New Roman" w:hAnsi="Times New Roman" w:eastAsia="黑体"/>
          <w:b w:val="0"/>
          <w:i w:val="0"/>
          <w:color w:val="000000"/>
          <w:sz w:val="22"/>
        </w:rPr>
        <w:t>7.1.4  过程运行环境</w:t>
      </w:r>
    </w:p>
    <w:p w14:paraId="72D5211B">
      <w:pPr>
        <w:keepNext/>
        <w:spacing w:before="60" w:after="0"/>
        <w:jc w:val="both"/>
      </w:pPr>
      <w:r>
        <w:rPr>
          <w:rFonts w:ascii="Times New Roman" w:hAnsi="Times New Roman" w:eastAsia="宋体"/>
          <w:b w:val="0"/>
          <w:i w:val="0"/>
          <w:color w:val="000000"/>
          <w:sz w:val="21"/>
        </w:rPr>
        <w:t>The organization shall determine, provide and maintain the environment necessary for the operation of its processes and to achieve conformity of products and services.</w:t>
      </w:r>
    </w:p>
    <w:p w14:paraId="5E2B7B73">
      <w:pPr>
        <w:spacing w:before="0" w:after="100"/>
        <w:jc w:val="both"/>
      </w:pPr>
      <w:r>
        <w:rPr>
          <w:rFonts w:ascii="Times New Roman" w:hAnsi="Times New Roman" w:eastAsia="宋体"/>
          <w:b w:val="0"/>
          <w:i w:val="0"/>
          <w:color w:val="000000"/>
          <w:sz w:val="21"/>
        </w:rPr>
        <w:t>组织应确定、提供并维护其过程运行所需的环境，以实现产品和服务的合格。</w:t>
      </w:r>
    </w:p>
    <w:p w14:paraId="015F4A44">
      <w:pPr>
        <w:keepNext/>
        <w:spacing w:before="20" w:after="0"/>
        <w:ind w:left="227"/>
        <w:jc w:val="both"/>
      </w:pPr>
      <w:r>
        <w:rPr>
          <w:rFonts w:ascii="Times New Roman" w:hAnsi="Times New Roman" w:eastAsia="宋体"/>
          <w:b w:val="0"/>
          <w:i/>
          <w:color w:val="000000"/>
          <w:sz w:val="20"/>
        </w:rPr>
        <w:t>NOTE — A suitable environment can include a combination of factors, which can differ depending on the products and services provided. Relevant factors can include:</w:t>
      </w:r>
    </w:p>
    <w:p w14:paraId="425062A4">
      <w:pPr>
        <w:spacing w:before="0" w:after="100"/>
        <w:ind w:left="227"/>
        <w:jc w:val="both"/>
      </w:pPr>
      <w:r>
        <w:rPr>
          <w:rFonts w:ascii="Times New Roman" w:hAnsi="Times New Roman" w:eastAsia="宋体"/>
          <w:b w:val="0"/>
          <w:i w:val="0"/>
          <w:color w:val="000000"/>
          <w:sz w:val="20"/>
        </w:rPr>
        <w:t>注：适宜的环境可以是多种因素的组合，这些因素可能因所提供的产品和服务的不同而异。相关因素可包括：</w:t>
      </w:r>
    </w:p>
    <w:p w14:paraId="0FBBD13F">
      <w:pPr>
        <w:keepNext/>
        <w:spacing w:before="20" w:after="0"/>
        <w:ind w:left="357" w:hanging="357"/>
        <w:jc w:val="both"/>
      </w:pPr>
      <w:r>
        <w:rPr>
          <w:rFonts w:ascii="Times New Roman" w:hAnsi="Times New Roman" w:eastAsia="宋体"/>
          <w:b w:val="0"/>
          <w:i w:val="0"/>
          <w:color w:val="000000"/>
          <w:sz w:val="21"/>
        </w:rPr>
        <w:t>a) social (e.g. non-discriminatory, calm, non-confrontational);</w:t>
      </w:r>
    </w:p>
    <w:p w14:paraId="2A16F975">
      <w:pPr>
        <w:spacing w:before="0" w:after="60"/>
        <w:ind w:left="357" w:hanging="357"/>
        <w:jc w:val="both"/>
      </w:pPr>
      <w:r>
        <w:rPr>
          <w:rFonts w:ascii="Times New Roman" w:hAnsi="Times New Roman" w:eastAsia="宋体"/>
          <w:b w:val="0"/>
          <w:i w:val="0"/>
          <w:color w:val="000000"/>
          <w:sz w:val="21"/>
        </w:rPr>
        <w:t>a) 社会因素（如无歧视、安定、非对抗）；</w:t>
      </w:r>
    </w:p>
    <w:p w14:paraId="1A45BAF6">
      <w:pPr>
        <w:keepNext/>
        <w:spacing w:before="20" w:after="0"/>
        <w:ind w:left="357" w:hanging="357"/>
        <w:jc w:val="both"/>
      </w:pPr>
      <w:r>
        <w:rPr>
          <w:rFonts w:ascii="Times New Roman" w:hAnsi="Times New Roman" w:eastAsia="宋体"/>
          <w:b w:val="0"/>
          <w:i w:val="0"/>
          <w:color w:val="000000"/>
          <w:sz w:val="21"/>
        </w:rPr>
        <w:t>b) psychological (e.g. stress-reducing, burnout prevention, emotionally protective);</w:t>
      </w:r>
    </w:p>
    <w:p w14:paraId="0B51AD07">
      <w:pPr>
        <w:spacing w:before="0" w:after="60"/>
        <w:ind w:left="357" w:hanging="357"/>
        <w:jc w:val="both"/>
      </w:pPr>
      <w:r>
        <w:rPr>
          <w:rFonts w:ascii="Times New Roman" w:hAnsi="Times New Roman" w:eastAsia="宋体"/>
          <w:b w:val="0"/>
          <w:i w:val="0"/>
          <w:color w:val="000000"/>
          <w:sz w:val="21"/>
        </w:rPr>
        <w:t>b) 心理因素（如减压、预防职业倦怠、情感保护）；</w:t>
      </w:r>
    </w:p>
    <w:p w14:paraId="04533097">
      <w:pPr>
        <w:keepNext/>
        <w:spacing w:before="20" w:after="0"/>
        <w:ind w:left="357" w:hanging="357"/>
        <w:jc w:val="both"/>
      </w:pPr>
      <w:r>
        <w:rPr>
          <w:rFonts w:ascii="Times New Roman" w:hAnsi="Times New Roman" w:eastAsia="宋体"/>
          <w:b w:val="0"/>
          <w:i w:val="0"/>
          <w:color w:val="000000"/>
          <w:sz w:val="21"/>
        </w:rPr>
        <w:t>c) physical (e.g. temperature, heat, humidity, light, airflow, hygiene, noise).</w:t>
      </w:r>
    </w:p>
    <w:p w14:paraId="7C59203B">
      <w:pPr>
        <w:spacing w:before="0" w:after="60"/>
        <w:ind w:left="357" w:hanging="357"/>
        <w:jc w:val="both"/>
      </w:pPr>
      <w:r>
        <w:rPr>
          <w:rFonts w:ascii="Times New Roman" w:hAnsi="Times New Roman" w:eastAsia="宋体"/>
          <w:b w:val="0"/>
          <w:i w:val="0"/>
          <w:color w:val="000000"/>
          <w:sz w:val="21"/>
        </w:rPr>
        <w:t>c) 物理因素（如温度、热量、湿度、光照、气流、卫生、噪声）。</w:t>
      </w:r>
    </w:p>
    <w:p w14:paraId="67B5437F">
      <w:pPr>
        <w:keepNext/>
        <w:spacing w:before="60" w:after="0"/>
        <w:jc w:val="both"/>
      </w:pPr>
      <w:r>
        <w:rPr>
          <w:rFonts w:ascii="Times New Roman" w:hAnsi="Times New Roman" w:eastAsia="宋体"/>
          <w:b w:val="0"/>
          <w:i w:val="0"/>
          <w:color w:val="000000"/>
          <w:sz w:val="21"/>
        </w:rPr>
        <w:t>Some factors can be influenced by the organizational quality culture and ethical behaviour.</w:t>
      </w:r>
    </w:p>
    <w:p w14:paraId="0702C451">
      <w:pPr>
        <w:spacing w:before="0" w:after="100"/>
        <w:jc w:val="both"/>
      </w:pPr>
      <w:r>
        <w:rPr>
          <w:rFonts w:ascii="Times New Roman" w:hAnsi="Times New Roman" w:eastAsia="宋体"/>
          <w:b w:val="0"/>
          <w:i w:val="0"/>
          <w:color w:val="000000"/>
          <w:sz w:val="21"/>
        </w:rPr>
        <w:t>某些因素可能受到组织的质量文化和道德行为的影响。</w:t>
      </w:r>
    </w:p>
    <w:p w14:paraId="6DBC57CF">
      <w:pPr>
        <w:keepNext/>
        <w:spacing w:before="200" w:after="0"/>
        <w:jc w:val="left"/>
      </w:pPr>
      <w:r>
        <w:rPr>
          <w:rFonts w:ascii="Times New Roman" w:hAnsi="Times New Roman" w:eastAsia="宋体"/>
          <w:b/>
          <w:i w:val="0"/>
          <w:color w:val="000000"/>
          <w:sz w:val="22"/>
        </w:rPr>
        <w:t>7.1.5  Monitoring and measuring resources</w:t>
      </w:r>
    </w:p>
    <w:p w14:paraId="4A090440">
      <w:pPr>
        <w:spacing w:before="0" w:after="80"/>
        <w:jc w:val="left"/>
      </w:pPr>
      <w:r>
        <w:rPr>
          <w:rFonts w:ascii="Times New Roman" w:hAnsi="Times New Roman" w:eastAsia="黑体"/>
          <w:b w:val="0"/>
          <w:i w:val="0"/>
          <w:color w:val="000000"/>
          <w:sz w:val="22"/>
        </w:rPr>
        <w:t>7.1.5  监视和测量资源</w:t>
      </w:r>
    </w:p>
    <w:p w14:paraId="1FB1192E">
      <w:pPr>
        <w:keepNext/>
        <w:spacing w:before="160" w:after="0"/>
        <w:jc w:val="left"/>
      </w:pPr>
      <w:r>
        <w:rPr>
          <w:rFonts w:ascii="Times New Roman" w:hAnsi="Times New Roman" w:eastAsia="宋体"/>
          <w:b/>
          <w:i w:val="0"/>
          <w:color w:val="000000"/>
          <w:sz w:val="21"/>
        </w:rPr>
        <w:t>7.1.5.1  General</w:t>
      </w:r>
    </w:p>
    <w:p w14:paraId="71D3C9D1">
      <w:pPr>
        <w:spacing w:before="0" w:after="80"/>
        <w:jc w:val="left"/>
      </w:pPr>
      <w:r>
        <w:rPr>
          <w:rFonts w:ascii="Times New Roman" w:hAnsi="Times New Roman" w:eastAsia="黑体"/>
          <w:b w:val="0"/>
          <w:i w:val="0"/>
          <w:color w:val="000000"/>
          <w:sz w:val="21"/>
        </w:rPr>
        <w:t>7.1.5.1  总则</w:t>
      </w:r>
    </w:p>
    <w:p w14:paraId="1D30CCBE">
      <w:pPr>
        <w:keepNext/>
        <w:spacing w:before="60" w:after="0"/>
        <w:jc w:val="both"/>
      </w:pPr>
      <w:r>
        <w:rPr>
          <w:rFonts w:ascii="Times New Roman" w:hAnsi="Times New Roman" w:eastAsia="宋体"/>
          <w:b w:val="0"/>
          <w:i w:val="0"/>
          <w:color w:val="000000"/>
          <w:sz w:val="21"/>
        </w:rPr>
        <w:t>The organization shall determine and provide the resources needed to ensure valid and reliable results when monitoring or measuring is used to verify the conformity of products and services to requirements.</w:t>
      </w:r>
    </w:p>
    <w:p w14:paraId="59739A60">
      <w:pPr>
        <w:spacing w:before="0" w:after="100"/>
        <w:jc w:val="both"/>
      </w:pPr>
      <w:r>
        <w:rPr>
          <w:rFonts w:ascii="Times New Roman" w:hAnsi="Times New Roman" w:eastAsia="宋体"/>
          <w:b w:val="0"/>
          <w:i w:val="0"/>
          <w:color w:val="000000"/>
          <w:sz w:val="21"/>
        </w:rPr>
        <w:t>当利用监视或测量活动验证产品和服务符合要求时，组织应确定并提供确保结果有效和可靠所需的资源。</w:t>
      </w:r>
    </w:p>
    <w:p w14:paraId="5498F928">
      <w:pPr>
        <w:keepNext/>
        <w:spacing w:before="60" w:after="0"/>
        <w:jc w:val="both"/>
      </w:pPr>
      <w:r>
        <w:rPr>
          <w:rFonts w:ascii="Times New Roman" w:hAnsi="Times New Roman" w:eastAsia="宋体"/>
          <w:b w:val="0"/>
          <w:i w:val="0"/>
          <w:color w:val="000000"/>
          <w:sz w:val="21"/>
        </w:rPr>
        <w:t>The organization shall ensure that the resources provided:</w:t>
      </w:r>
    </w:p>
    <w:p w14:paraId="2E5950B6">
      <w:pPr>
        <w:spacing w:before="0" w:after="100"/>
        <w:jc w:val="both"/>
      </w:pPr>
      <w:r>
        <w:rPr>
          <w:rFonts w:ascii="Times New Roman" w:hAnsi="Times New Roman" w:eastAsia="宋体"/>
          <w:b w:val="0"/>
          <w:i w:val="0"/>
          <w:color w:val="000000"/>
          <w:sz w:val="21"/>
        </w:rPr>
        <w:t>组织应确保所提供的资源：</w:t>
      </w:r>
    </w:p>
    <w:p w14:paraId="6753F97E">
      <w:pPr>
        <w:keepNext/>
        <w:spacing w:before="20" w:after="0"/>
        <w:ind w:left="357" w:hanging="357"/>
        <w:jc w:val="both"/>
      </w:pPr>
      <w:r>
        <w:rPr>
          <w:rFonts w:ascii="Times New Roman" w:hAnsi="Times New Roman" w:eastAsia="宋体"/>
          <w:b w:val="0"/>
          <w:i w:val="0"/>
          <w:color w:val="000000"/>
          <w:sz w:val="21"/>
        </w:rPr>
        <w:t>a) are suitable for the specific type of monitoring and measurement activities being undertaken;</w:t>
      </w:r>
    </w:p>
    <w:p w14:paraId="7D874A16">
      <w:pPr>
        <w:spacing w:before="0" w:after="60"/>
        <w:ind w:left="357" w:hanging="357"/>
        <w:jc w:val="both"/>
      </w:pPr>
      <w:r>
        <w:rPr>
          <w:rFonts w:ascii="Times New Roman" w:hAnsi="Times New Roman" w:eastAsia="宋体"/>
          <w:b w:val="0"/>
          <w:i w:val="0"/>
          <w:color w:val="000000"/>
          <w:sz w:val="21"/>
        </w:rPr>
        <w:t>a) 适合所开展的监视和测量活动的特定类型；</w:t>
      </w:r>
    </w:p>
    <w:p w14:paraId="4F5E9B9D">
      <w:pPr>
        <w:keepNext/>
        <w:spacing w:before="20" w:after="0"/>
        <w:ind w:left="357" w:hanging="357"/>
        <w:jc w:val="both"/>
      </w:pPr>
      <w:r>
        <w:rPr>
          <w:rFonts w:ascii="Times New Roman" w:hAnsi="Times New Roman" w:eastAsia="宋体"/>
          <w:b w:val="0"/>
          <w:i w:val="0"/>
          <w:color w:val="000000"/>
          <w:sz w:val="21"/>
        </w:rPr>
        <w:t>b) are maintained to ensure their continuing fitness for their purpose.</w:t>
      </w:r>
    </w:p>
    <w:p w14:paraId="45C05B03">
      <w:pPr>
        <w:spacing w:before="0" w:after="60"/>
        <w:ind w:left="357" w:hanging="357"/>
        <w:jc w:val="both"/>
      </w:pPr>
      <w:r>
        <w:rPr>
          <w:rFonts w:ascii="Times New Roman" w:hAnsi="Times New Roman" w:eastAsia="宋体"/>
          <w:b w:val="0"/>
          <w:i w:val="0"/>
          <w:color w:val="000000"/>
          <w:sz w:val="21"/>
        </w:rPr>
        <w:t>b) 得到维护，以确保其持续适合其用途。</w:t>
      </w:r>
    </w:p>
    <w:p w14:paraId="2E1BE3E3">
      <w:pPr>
        <w:keepNext/>
        <w:spacing w:before="60" w:after="0"/>
        <w:jc w:val="both"/>
      </w:pPr>
      <w:r>
        <w:rPr>
          <w:rFonts w:ascii="Times New Roman" w:hAnsi="Times New Roman" w:eastAsia="宋体"/>
          <w:b w:val="0"/>
          <w:i w:val="0"/>
          <w:color w:val="000000"/>
          <w:sz w:val="21"/>
        </w:rPr>
        <w:t>Appropriate documented information shall be available as evidence of fitness for purpose of the monitoring and measurement resources.</w:t>
      </w:r>
    </w:p>
    <w:p w14:paraId="52359421">
      <w:pPr>
        <w:spacing w:before="0" w:after="100"/>
        <w:jc w:val="both"/>
      </w:pPr>
      <w:r>
        <w:rPr>
          <w:rFonts w:ascii="Times New Roman" w:hAnsi="Times New Roman" w:eastAsia="宋体"/>
          <w:b w:val="0"/>
          <w:i w:val="0"/>
          <w:color w:val="000000"/>
          <w:sz w:val="21"/>
        </w:rPr>
        <w:t>应可获得适当的成文信息，作为监视和测量资源适合其用途的证据。</w:t>
      </w:r>
    </w:p>
    <w:p w14:paraId="011E721F">
      <w:pPr>
        <w:keepNext/>
        <w:spacing w:before="160" w:after="0"/>
        <w:jc w:val="left"/>
      </w:pPr>
      <w:r>
        <w:rPr>
          <w:rFonts w:ascii="Times New Roman" w:hAnsi="Times New Roman" w:eastAsia="宋体"/>
          <w:b/>
          <w:i w:val="0"/>
          <w:color w:val="000000"/>
          <w:sz w:val="21"/>
        </w:rPr>
        <w:t>7.1.5.2  Traceability of measurement results</w:t>
      </w:r>
    </w:p>
    <w:p w14:paraId="736A46A6">
      <w:pPr>
        <w:spacing w:before="0" w:after="80"/>
        <w:jc w:val="left"/>
      </w:pPr>
      <w:r>
        <w:rPr>
          <w:rFonts w:ascii="Times New Roman" w:hAnsi="Times New Roman" w:eastAsia="黑体"/>
          <w:b w:val="0"/>
          <w:i w:val="0"/>
          <w:color w:val="000000"/>
          <w:sz w:val="21"/>
        </w:rPr>
        <w:t>7.1.5.2  测量结果的溯源性</w:t>
      </w:r>
    </w:p>
    <w:p w14:paraId="04EAE1F4">
      <w:pPr>
        <w:keepNext/>
        <w:spacing w:before="60" w:after="0"/>
        <w:jc w:val="both"/>
      </w:pPr>
      <w:r>
        <w:rPr>
          <w:rFonts w:ascii="Times New Roman" w:hAnsi="Times New Roman" w:eastAsia="宋体"/>
          <w:b w:val="0"/>
          <w:i w:val="0"/>
          <w:color w:val="000000"/>
          <w:sz w:val="21"/>
        </w:rPr>
        <w:t>When traceability of measurement results is a requirement, or is considered by the organization to be an essential part of providing confidence in the validity of measurement results, measuring equipment shall be:</w:t>
      </w:r>
    </w:p>
    <w:p w14:paraId="30F0A5BD">
      <w:pPr>
        <w:spacing w:before="0" w:after="100"/>
        <w:jc w:val="both"/>
      </w:pPr>
      <w:r>
        <w:rPr>
          <w:rFonts w:ascii="Times New Roman" w:hAnsi="Times New Roman" w:eastAsia="宋体"/>
          <w:b w:val="0"/>
          <w:i w:val="0"/>
          <w:color w:val="000000"/>
          <w:sz w:val="21"/>
        </w:rPr>
        <w:t>当测量结果溯源性是一项要求，或组织认为其为测量结果有效性置信的重要组成部分时，测量设备应：</w:t>
      </w:r>
    </w:p>
    <w:p w14:paraId="23725071">
      <w:pPr>
        <w:keepNext/>
        <w:spacing w:before="20" w:after="0"/>
        <w:ind w:left="357" w:hanging="357"/>
        <w:jc w:val="both"/>
      </w:pPr>
      <w:r>
        <w:rPr>
          <w:rFonts w:ascii="Times New Roman" w:hAnsi="Times New Roman" w:eastAsia="宋体"/>
          <w:b w:val="0"/>
          <w:i w:val="0"/>
          <w:color w:val="000000"/>
          <w:sz w:val="21"/>
        </w:rPr>
        <w:t>a) calibrated or verified, or both, at specified intervals, or prior to use, against measurement standards traceable to international or national measurement standards; when no such measurement standards exist, the basis used for calibration or verification shall be available as documented information;</w:t>
      </w:r>
    </w:p>
    <w:p w14:paraId="47DF797A">
      <w:pPr>
        <w:spacing w:before="0" w:after="60"/>
        <w:ind w:left="357" w:hanging="357"/>
        <w:jc w:val="both"/>
      </w:pPr>
      <w:r>
        <w:rPr>
          <w:rFonts w:ascii="Times New Roman" w:hAnsi="Times New Roman" w:eastAsia="宋体"/>
          <w:b w:val="0"/>
          <w:i w:val="0"/>
          <w:color w:val="000000"/>
          <w:sz w:val="21"/>
        </w:rPr>
        <w:t>a) 依据可溯源至国际或国家测量标准的测量标准，按规定的时间间隔或在使用前进行校准或检定，或两者兼施；当不存在此类测量标准时，用作校准或检定依据的依据应作为成文信息可获得；</w:t>
      </w:r>
    </w:p>
    <w:p w14:paraId="582F2528">
      <w:pPr>
        <w:keepNext/>
        <w:spacing w:before="20" w:after="0"/>
        <w:ind w:left="357" w:hanging="357"/>
        <w:jc w:val="both"/>
      </w:pPr>
      <w:r>
        <w:rPr>
          <w:rFonts w:ascii="Times New Roman" w:hAnsi="Times New Roman" w:eastAsia="宋体"/>
          <w:b w:val="0"/>
          <w:i w:val="0"/>
          <w:color w:val="000000"/>
          <w:sz w:val="21"/>
        </w:rPr>
        <w:t>b) identified in order to determine its calibration or verification status;</w:t>
      </w:r>
    </w:p>
    <w:p w14:paraId="6C793061">
      <w:pPr>
        <w:spacing w:before="0" w:after="60"/>
        <w:ind w:left="357" w:hanging="357"/>
        <w:jc w:val="both"/>
      </w:pPr>
      <w:r>
        <w:rPr>
          <w:rFonts w:ascii="Times New Roman" w:hAnsi="Times New Roman" w:eastAsia="宋体"/>
          <w:b w:val="0"/>
          <w:i w:val="0"/>
          <w:color w:val="000000"/>
          <w:sz w:val="21"/>
        </w:rPr>
        <w:t>b) 予以标识，以确定其校准或检定状态；</w:t>
      </w:r>
    </w:p>
    <w:p w14:paraId="43D04EF1">
      <w:pPr>
        <w:keepNext/>
        <w:spacing w:before="20" w:after="0"/>
        <w:ind w:left="357" w:hanging="357"/>
        <w:jc w:val="both"/>
      </w:pPr>
      <w:r>
        <w:rPr>
          <w:rFonts w:ascii="Times New Roman" w:hAnsi="Times New Roman" w:eastAsia="宋体"/>
          <w:b w:val="0"/>
          <w:i w:val="0"/>
          <w:color w:val="000000"/>
          <w:sz w:val="21"/>
        </w:rPr>
        <w:t>c) safeguarded from adjustments, damage or deterioration that can invalidate measurement results.</w:t>
      </w:r>
    </w:p>
    <w:p w14:paraId="01D2F5FD">
      <w:pPr>
        <w:spacing w:before="0" w:after="60"/>
        <w:ind w:left="357" w:hanging="357"/>
        <w:jc w:val="both"/>
      </w:pPr>
      <w:r>
        <w:rPr>
          <w:rFonts w:ascii="Times New Roman" w:hAnsi="Times New Roman" w:eastAsia="宋体"/>
          <w:b w:val="0"/>
          <w:i w:val="0"/>
          <w:color w:val="000000"/>
          <w:sz w:val="21"/>
        </w:rPr>
        <w:t>c) 予以防护，防止调整、损坏或劣化导致测量结果失效。</w:t>
      </w:r>
    </w:p>
    <w:p w14:paraId="32276C0B">
      <w:pPr>
        <w:keepNext/>
        <w:spacing w:before="60" w:after="0"/>
        <w:jc w:val="both"/>
      </w:pPr>
      <w:r>
        <w:rPr>
          <w:rFonts w:ascii="Times New Roman" w:hAnsi="Times New Roman" w:eastAsia="宋体"/>
          <w:b w:val="0"/>
          <w:i w:val="0"/>
          <w:color w:val="000000"/>
          <w:sz w:val="21"/>
        </w:rPr>
        <w:t>When measuring equipment is found to be unfit for its intended purpose, the organization shall determine whether the validity of previous measurement results has been adversely affected and shall take appropriate action as necessary.</w:t>
      </w:r>
    </w:p>
    <w:p w14:paraId="4420D12B">
      <w:pPr>
        <w:spacing w:before="0" w:after="100"/>
        <w:jc w:val="both"/>
      </w:pPr>
      <w:r>
        <w:rPr>
          <w:rFonts w:ascii="Times New Roman" w:hAnsi="Times New Roman" w:eastAsia="宋体"/>
          <w:b w:val="0"/>
          <w:i w:val="0"/>
          <w:color w:val="000000"/>
          <w:sz w:val="21"/>
        </w:rPr>
        <w:t>当发现测量设备不适合其预期用途时，组织应确定以往测量结果的有效性是否受到不利影响，必要时采取适当的措施。</w:t>
      </w:r>
    </w:p>
    <w:p w14:paraId="508623BF">
      <w:pPr>
        <w:keepNext/>
        <w:spacing w:before="200" w:after="0"/>
        <w:jc w:val="left"/>
      </w:pPr>
      <w:r>
        <w:rPr>
          <w:rFonts w:ascii="Times New Roman" w:hAnsi="Times New Roman" w:eastAsia="宋体"/>
          <w:b/>
          <w:i w:val="0"/>
          <w:color w:val="000000"/>
          <w:sz w:val="22"/>
        </w:rPr>
        <w:t>7.1.6  Organizational knowledge</w:t>
      </w:r>
    </w:p>
    <w:p w14:paraId="38654C28">
      <w:pPr>
        <w:spacing w:before="0" w:after="80"/>
        <w:jc w:val="left"/>
      </w:pPr>
      <w:r>
        <w:rPr>
          <w:rFonts w:ascii="Times New Roman" w:hAnsi="Times New Roman" w:eastAsia="黑体"/>
          <w:b w:val="0"/>
          <w:i w:val="0"/>
          <w:color w:val="000000"/>
          <w:sz w:val="22"/>
        </w:rPr>
        <w:t>7.1.6  组织的知识</w:t>
      </w:r>
    </w:p>
    <w:p w14:paraId="14FD30D1">
      <w:pPr>
        <w:keepNext/>
        <w:spacing w:before="60" w:after="0"/>
        <w:jc w:val="both"/>
      </w:pPr>
      <w:r>
        <w:rPr>
          <w:rFonts w:ascii="Times New Roman" w:hAnsi="Times New Roman" w:eastAsia="宋体"/>
          <w:b w:val="0"/>
          <w:i w:val="0"/>
          <w:color w:val="000000"/>
          <w:sz w:val="21"/>
        </w:rPr>
        <w:t>The organization shall determine the knowledge necessary for the operation of its processes and to achieve the intended results of its quality management system.</w:t>
      </w:r>
    </w:p>
    <w:p w14:paraId="78057683">
      <w:pPr>
        <w:spacing w:before="0" w:after="100"/>
        <w:jc w:val="both"/>
      </w:pPr>
      <w:r>
        <w:rPr>
          <w:rFonts w:ascii="Times New Roman" w:hAnsi="Times New Roman" w:eastAsia="宋体"/>
          <w:b w:val="0"/>
          <w:i w:val="0"/>
          <w:color w:val="000000"/>
          <w:sz w:val="21"/>
        </w:rPr>
        <w:t>组织应确定其过程运行以及实现质量管理体系预期结果所需的知识。</w:t>
      </w:r>
    </w:p>
    <w:p w14:paraId="53CAD9E5">
      <w:pPr>
        <w:keepNext/>
        <w:spacing w:before="60" w:after="0"/>
        <w:jc w:val="both"/>
      </w:pPr>
      <w:r>
        <w:rPr>
          <w:rFonts w:ascii="Times New Roman" w:hAnsi="Times New Roman" w:eastAsia="宋体"/>
          <w:b w:val="0"/>
          <w:i w:val="0"/>
          <w:color w:val="000000"/>
          <w:sz w:val="21"/>
        </w:rPr>
        <w:t>This knowledge shall be retained, applied and shared to the extent necessary.</w:t>
      </w:r>
    </w:p>
    <w:p w14:paraId="2F2331B3">
      <w:pPr>
        <w:spacing w:before="0" w:after="100"/>
        <w:jc w:val="both"/>
      </w:pPr>
      <w:r>
        <w:rPr>
          <w:rFonts w:ascii="Times New Roman" w:hAnsi="Times New Roman" w:eastAsia="宋体"/>
          <w:b w:val="0"/>
          <w:i w:val="0"/>
          <w:color w:val="000000"/>
          <w:sz w:val="21"/>
        </w:rPr>
        <w:t>这些知识应予以保持，并在必要的范围内应用和共享。</w:t>
      </w:r>
    </w:p>
    <w:p w14:paraId="1C06B3E9">
      <w:pPr>
        <w:keepNext/>
        <w:spacing w:before="60" w:after="0"/>
        <w:jc w:val="both"/>
      </w:pPr>
      <w:r>
        <w:rPr>
          <w:rFonts w:ascii="Times New Roman" w:hAnsi="Times New Roman" w:eastAsia="宋体"/>
          <w:b w:val="0"/>
          <w:i w:val="0"/>
          <w:color w:val="000000"/>
          <w:sz w:val="21"/>
        </w:rPr>
        <w:t>When addressing changing needs and trends, the organization shall consider its current knowledge and determine how to acquire or access any necessary additional knowledge and required updates.</w:t>
      </w:r>
    </w:p>
    <w:p w14:paraId="257D3998">
      <w:pPr>
        <w:spacing w:before="0" w:after="100"/>
        <w:jc w:val="both"/>
      </w:pPr>
      <w:r>
        <w:rPr>
          <w:rFonts w:ascii="Times New Roman" w:hAnsi="Times New Roman" w:eastAsia="宋体"/>
          <w:b w:val="0"/>
          <w:i w:val="0"/>
          <w:color w:val="000000"/>
          <w:sz w:val="21"/>
        </w:rPr>
        <w:t>在应对不断变化的需求和趋势时，组织应考虑其现有知识，并确定如何获取或接触所需的任何附加知识和所需的更新。</w:t>
      </w:r>
    </w:p>
    <w:p w14:paraId="63602A6A">
      <w:pPr>
        <w:keepNext/>
        <w:spacing w:before="20" w:after="0"/>
        <w:ind w:left="227"/>
        <w:jc w:val="both"/>
      </w:pPr>
      <w:r>
        <w:rPr>
          <w:rFonts w:ascii="Times New Roman" w:hAnsi="Times New Roman" w:eastAsia="宋体"/>
          <w:b w:val="0"/>
          <w:i/>
          <w:color w:val="000000"/>
          <w:sz w:val="20"/>
        </w:rPr>
        <w:t>NOTE — Organizational knowledge can take different forms, such as:</w:t>
      </w:r>
    </w:p>
    <w:p w14:paraId="5E173270">
      <w:pPr>
        <w:spacing w:before="0" w:after="100"/>
        <w:ind w:left="227"/>
        <w:jc w:val="both"/>
      </w:pPr>
      <w:r>
        <w:rPr>
          <w:rFonts w:ascii="Times New Roman" w:hAnsi="Times New Roman" w:eastAsia="宋体"/>
          <w:b w:val="0"/>
          <w:i w:val="0"/>
          <w:color w:val="000000"/>
          <w:sz w:val="20"/>
        </w:rPr>
        <w:t>注：组织的知识可以不同的形式存在，如：</w:t>
      </w:r>
    </w:p>
    <w:p w14:paraId="6793D1D3">
      <w:pPr>
        <w:keepNext/>
        <w:spacing w:before="20" w:after="0"/>
        <w:ind w:left="357" w:hanging="357"/>
        <w:jc w:val="both"/>
      </w:pPr>
      <w:r>
        <w:rPr>
          <w:rFonts w:ascii="Times New Roman" w:hAnsi="Times New Roman" w:eastAsia="宋体"/>
          <w:b w:val="0"/>
          <w:i w:val="0"/>
          <w:color w:val="000000"/>
          <w:sz w:val="21"/>
        </w:rPr>
        <w:t>— experience-based knowledge held by people;</w:t>
      </w:r>
    </w:p>
    <w:p w14:paraId="2E7B16B2">
      <w:pPr>
        <w:spacing w:before="0" w:after="60"/>
        <w:ind w:left="357" w:hanging="357"/>
        <w:jc w:val="both"/>
      </w:pPr>
      <w:r>
        <w:rPr>
          <w:rFonts w:ascii="Times New Roman" w:hAnsi="Times New Roman" w:eastAsia="宋体"/>
          <w:b w:val="0"/>
          <w:i w:val="0"/>
          <w:color w:val="000000"/>
          <w:sz w:val="21"/>
        </w:rPr>
        <w:t>—— 人员所持有的基于经验的知识；</w:t>
      </w:r>
    </w:p>
    <w:p w14:paraId="6C134087">
      <w:pPr>
        <w:keepNext/>
        <w:spacing w:before="20" w:after="0"/>
        <w:ind w:left="357" w:hanging="357"/>
        <w:jc w:val="both"/>
      </w:pPr>
      <w:r>
        <w:rPr>
          <w:rFonts w:ascii="Times New Roman" w:hAnsi="Times New Roman" w:eastAsia="宋体"/>
          <w:b w:val="0"/>
          <w:i w:val="0"/>
          <w:color w:val="000000"/>
          <w:sz w:val="21"/>
        </w:rPr>
        <w:t>— knowledge acquired through education, training and learning from others;</w:t>
      </w:r>
    </w:p>
    <w:p w14:paraId="07CD299A">
      <w:pPr>
        <w:spacing w:before="0" w:after="60"/>
        <w:ind w:left="357" w:hanging="357"/>
        <w:jc w:val="both"/>
      </w:pPr>
      <w:r>
        <w:rPr>
          <w:rFonts w:ascii="Times New Roman" w:hAnsi="Times New Roman" w:eastAsia="宋体"/>
          <w:b w:val="0"/>
          <w:i w:val="0"/>
          <w:color w:val="000000"/>
          <w:sz w:val="21"/>
        </w:rPr>
        <w:t>—— 通过教育、培训和向他人学习所获得的知识；</w:t>
      </w:r>
    </w:p>
    <w:p w14:paraId="389AA16D">
      <w:pPr>
        <w:keepNext/>
        <w:spacing w:before="20" w:after="0"/>
        <w:ind w:left="357" w:hanging="357"/>
        <w:jc w:val="both"/>
      </w:pPr>
      <w:r>
        <w:rPr>
          <w:rFonts w:ascii="Times New Roman" w:hAnsi="Times New Roman" w:eastAsia="宋体"/>
          <w:b w:val="0"/>
          <w:i w:val="0"/>
          <w:color w:val="000000"/>
          <w:sz w:val="21"/>
        </w:rPr>
        <w:t>— knowledge embedded in methods, processes and products;</w:t>
      </w:r>
    </w:p>
    <w:p w14:paraId="19FE988B">
      <w:pPr>
        <w:spacing w:before="0" w:after="60"/>
        <w:ind w:left="357" w:hanging="357"/>
        <w:jc w:val="both"/>
      </w:pPr>
      <w:r>
        <w:rPr>
          <w:rFonts w:ascii="Times New Roman" w:hAnsi="Times New Roman" w:eastAsia="宋体"/>
          <w:b w:val="0"/>
          <w:i w:val="0"/>
          <w:color w:val="000000"/>
          <w:sz w:val="21"/>
        </w:rPr>
        <w:t>—— 蕴含于方法、过程和产品中的知识；</w:t>
      </w:r>
    </w:p>
    <w:p w14:paraId="7AB75CF9">
      <w:pPr>
        <w:keepNext/>
        <w:spacing w:before="20" w:after="0"/>
        <w:ind w:left="357" w:hanging="357"/>
        <w:jc w:val="both"/>
      </w:pPr>
      <w:r>
        <w:rPr>
          <w:rFonts w:ascii="Times New Roman" w:hAnsi="Times New Roman" w:eastAsia="宋体"/>
          <w:b w:val="0"/>
          <w:i w:val="0"/>
          <w:color w:val="000000"/>
          <w:sz w:val="21"/>
        </w:rPr>
        <w:t>— knowledge represented in documented information, digital systems and other media.</w:t>
      </w:r>
    </w:p>
    <w:p w14:paraId="034F73A3">
      <w:pPr>
        <w:spacing w:before="0" w:after="60"/>
        <w:ind w:left="357" w:hanging="357"/>
        <w:jc w:val="both"/>
      </w:pPr>
      <w:r>
        <w:rPr>
          <w:rFonts w:ascii="Times New Roman" w:hAnsi="Times New Roman" w:eastAsia="宋体"/>
          <w:b w:val="0"/>
          <w:i w:val="0"/>
          <w:color w:val="000000"/>
          <w:sz w:val="21"/>
        </w:rPr>
        <w:t>—— 以成文信息、数字系统和其他媒介形式呈现的知识。</w:t>
      </w:r>
    </w:p>
    <w:p w14:paraId="1BEFB50B">
      <w:pPr>
        <w:keepNext/>
        <w:spacing w:before="240" w:after="0"/>
        <w:jc w:val="left"/>
      </w:pPr>
      <w:r>
        <w:rPr>
          <w:rFonts w:ascii="Times New Roman" w:hAnsi="Times New Roman" w:eastAsia="宋体"/>
          <w:b/>
          <w:i w:val="0"/>
          <w:color w:val="000000"/>
          <w:sz w:val="24"/>
        </w:rPr>
        <w:t>7.2  Competence</w:t>
      </w:r>
    </w:p>
    <w:p w14:paraId="1089B154">
      <w:pPr>
        <w:spacing w:before="0" w:after="80"/>
        <w:jc w:val="left"/>
      </w:pPr>
      <w:r>
        <w:rPr>
          <w:rFonts w:ascii="Times New Roman" w:hAnsi="Times New Roman" w:eastAsia="黑体"/>
          <w:b w:val="0"/>
          <w:i w:val="0"/>
          <w:color w:val="000000"/>
          <w:sz w:val="24"/>
        </w:rPr>
        <w:t>7.2  能力</w:t>
      </w:r>
    </w:p>
    <w:p w14:paraId="01D4816D">
      <w:pPr>
        <w:keepNext/>
        <w:spacing w:before="60" w:after="0"/>
        <w:jc w:val="both"/>
      </w:pPr>
      <w:r>
        <w:rPr>
          <w:rFonts w:ascii="Times New Roman" w:hAnsi="Times New Roman" w:eastAsia="宋体"/>
          <w:b w:val="0"/>
          <w:i w:val="0"/>
          <w:color w:val="000000"/>
          <w:sz w:val="21"/>
        </w:rPr>
        <w:t>The organization shall:</w:t>
      </w:r>
    </w:p>
    <w:p w14:paraId="57AEAE0B">
      <w:pPr>
        <w:spacing w:before="0" w:after="100"/>
        <w:jc w:val="both"/>
      </w:pPr>
      <w:r>
        <w:rPr>
          <w:rFonts w:ascii="Times New Roman" w:hAnsi="Times New Roman" w:eastAsia="宋体"/>
          <w:b w:val="0"/>
          <w:i w:val="0"/>
          <w:color w:val="000000"/>
          <w:sz w:val="21"/>
        </w:rPr>
        <w:t>组织应：</w:t>
      </w:r>
    </w:p>
    <w:p w14:paraId="53CFE82D">
      <w:pPr>
        <w:keepNext/>
        <w:spacing w:before="20" w:after="0"/>
        <w:ind w:left="357" w:hanging="357"/>
        <w:jc w:val="both"/>
      </w:pPr>
      <w:r>
        <w:rPr>
          <w:rFonts w:ascii="Times New Roman" w:hAnsi="Times New Roman" w:eastAsia="宋体"/>
          <w:b w:val="0"/>
          <w:i w:val="0"/>
          <w:color w:val="000000"/>
          <w:sz w:val="21"/>
        </w:rPr>
        <w:t>a) determine the necessary competence of person(s) doing work under its control that affects its quality management system performance;</w:t>
      </w:r>
    </w:p>
    <w:p w14:paraId="7F832907">
      <w:pPr>
        <w:spacing w:before="0" w:after="60"/>
        <w:ind w:left="357" w:hanging="357"/>
        <w:jc w:val="both"/>
      </w:pPr>
      <w:r>
        <w:rPr>
          <w:rFonts w:ascii="Times New Roman" w:hAnsi="Times New Roman" w:eastAsia="宋体"/>
          <w:b w:val="0"/>
          <w:i w:val="0"/>
          <w:color w:val="000000"/>
          <w:sz w:val="21"/>
        </w:rPr>
        <w:t>a) 确定在其控制下工作的、影响其质量管理体系绩效的人员所需的能力；</w:t>
      </w:r>
    </w:p>
    <w:p w14:paraId="61EE1BAC">
      <w:pPr>
        <w:keepNext/>
        <w:spacing w:before="20" w:after="0"/>
        <w:ind w:left="357" w:hanging="357"/>
        <w:jc w:val="both"/>
      </w:pPr>
      <w:r>
        <w:rPr>
          <w:rFonts w:ascii="Times New Roman" w:hAnsi="Times New Roman" w:eastAsia="宋体"/>
          <w:b w:val="0"/>
          <w:i w:val="0"/>
          <w:color w:val="000000"/>
          <w:sz w:val="21"/>
        </w:rPr>
        <w:t>b) ensure that these persons are competent on the basis of appropriate education, training or experience;</w:t>
      </w:r>
    </w:p>
    <w:p w14:paraId="45341348">
      <w:pPr>
        <w:spacing w:before="0" w:after="60"/>
        <w:ind w:left="357" w:hanging="357"/>
        <w:jc w:val="both"/>
      </w:pPr>
      <w:r>
        <w:rPr>
          <w:rFonts w:ascii="Times New Roman" w:hAnsi="Times New Roman" w:eastAsia="宋体"/>
          <w:b w:val="0"/>
          <w:i w:val="0"/>
          <w:color w:val="000000"/>
          <w:sz w:val="21"/>
        </w:rPr>
        <w:t>b) 确保这些人员基于适当的教育、培训或经验而具备能力；</w:t>
      </w:r>
    </w:p>
    <w:p w14:paraId="35254A98">
      <w:pPr>
        <w:keepNext/>
        <w:spacing w:before="20" w:after="0"/>
        <w:ind w:left="357" w:hanging="357"/>
        <w:jc w:val="both"/>
      </w:pPr>
      <w:r>
        <w:rPr>
          <w:rFonts w:ascii="Times New Roman" w:hAnsi="Times New Roman" w:eastAsia="宋体"/>
          <w:b w:val="0"/>
          <w:i w:val="0"/>
          <w:color w:val="000000"/>
          <w:sz w:val="21"/>
        </w:rPr>
        <w:t>c) where applicable, take actions to acquire the necessary competence, and evaluate the effectiveness of the actions taken.</w:t>
      </w:r>
    </w:p>
    <w:p w14:paraId="4EDE4899">
      <w:pPr>
        <w:spacing w:before="0" w:after="60"/>
        <w:ind w:left="357" w:hanging="357"/>
        <w:jc w:val="both"/>
      </w:pPr>
      <w:r>
        <w:rPr>
          <w:rFonts w:ascii="Times New Roman" w:hAnsi="Times New Roman" w:eastAsia="宋体"/>
          <w:b w:val="0"/>
          <w:i w:val="0"/>
          <w:color w:val="000000"/>
          <w:sz w:val="21"/>
        </w:rPr>
        <w:t>c) 适用时，采取措施获取所需的能力，并评价所采取措施的有效性。</w:t>
      </w:r>
    </w:p>
    <w:p w14:paraId="5A604944">
      <w:pPr>
        <w:keepNext/>
        <w:spacing w:before="60" w:after="0"/>
        <w:jc w:val="both"/>
      </w:pPr>
      <w:r>
        <w:rPr>
          <w:rFonts w:ascii="Times New Roman" w:hAnsi="Times New Roman" w:eastAsia="宋体"/>
          <w:b w:val="0"/>
          <w:i w:val="0"/>
          <w:color w:val="000000"/>
          <w:sz w:val="21"/>
        </w:rPr>
        <w:t>Appropriate documented information shall be available as evidence of competence.</w:t>
      </w:r>
    </w:p>
    <w:p w14:paraId="72F77EE7">
      <w:pPr>
        <w:spacing w:before="0" w:after="100"/>
        <w:jc w:val="both"/>
      </w:pPr>
      <w:r>
        <w:rPr>
          <w:rFonts w:ascii="Times New Roman" w:hAnsi="Times New Roman" w:eastAsia="宋体"/>
          <w:b w:val="0"/>
          <w:i w:val="0"/>
          <w:color w:val="000000"/>
          <w:sz w:val="21"/>
        </w:rPr>
        <w:t>应可获得适当的成文信息，作为人员能力的证据。</w:t>
      </w:r>
    </w:p>
    <w:p w14:paraId="5A515924">
      <w:pPr>
        <w:keepNext/>
        <w:spacing w:before="20" w:after="0"/>
        <w:ind w:left="227"/>
        <w:jc w:val="both"/>
      </w:pPr>
      <w:r>
        <w:rPr>
          <w:rFonts w:ascii="Times New Roman" w:hAnsi="Times New Roman" w:eastAsia="宋体"/>
          <w:b w:val="0"/>
          <w:i/>
          <w:color w:val="000000"/>
          <w:sz w:val="20"/>
        </w:rPr>
        <w:t>NOTE — Applicable actions can include, for example: the provision of training to, the mentoring of or the re-assignment of currently employed persons; or the hiring or contracting of competent persons.</w:t>
      </w:r>
    </w:p>
    <w:p w14:paraId="1B5BE7FF">
      <w:pPr>
        <w:spacing w:before="0" w:after="100"/>
        <w:ind w:left="227"/>
        <w:jc w:val="both"/>
      </w:pPr>
      <w:r>
        <w:rPr>
          <w:rFonts w:ascii="Times New Roman" w:hAnsi="Times New Roman" w:eastAsia="宋体"/>
          <w:b w:val="0"/>
          <w:i w:val="0"/>
          <w:color w:val="000000"/>
          <w:sz w:val="20"/>
        </w:rPr>
        <w:t>注：适用的措施可包括：对在职人员进行培训、指导或重新分配；或聘用具备能力的人员或将工作外包给具备能力的人员。</w:t>
      </w:r>
    </w:p>
    <w:p w14:paraId="3C49E7B9">
      <w:pPr>
        <w:keepNext/>
        <w:spacing w:before="240" w:after="0"/>
        <w:jc w:val="left"/>
      </w:pPr>
      <w:r>
        <w:rPr>
          <w:rFonts w:ascii="Times New Roman" w:hAnsi="Times New Roman" w:eastAsia="宋体"/>
          <w:b/>
          <w:i w:val="0"/>
          <w:color w:val="000000"/>
          <w:sz w:val="24"/>
        </w:rPr>
        <w:t>7.3  Awareness</w:t>
      </w:r>
    </w:p>
    <w:p w14:paraId="35031888">
      <w:pPr>
        <w:spacing w:before="0" w:after="80"/>
        <w:jc w:val="left"/>
      </w:pPr>
      <w:r>
        <w:rPr>
          <w:rFonts w:ascii="Times New Roman" w:hAnsi="Times New Roman" w:eastAsia="黑体"/>
          <w:b w:val="0"/>
          <w:i w:val="0"/>
          <w:color w:val="000000"/>
          <w:sz w:val="24"/>
        </w:rPr>
        <w:t>7.3  意识</w:t>
      </w:r>
    </w:p>
    <w:p w14:paraId="556A5C50">
      <w:pPr>
        <w:keepNext/>
        <w:spacing w:before="60" w:after="0"/>
        <w:jc w:val="both"/>
      </w:pPr>
      <w:r>
        <w:rPr>
          <w:rFonts w:ascii="Times New Roman" w:hAnsi="Times New Roman" w:eastAsia="宋体"/>
          <w:b w:val="0"/>
          <w:i w:val="0"/>
          <w:color w:val="000000"/>
          <w:sz w:val="21"/>
        </w:rPr>
        <w:t>The organization shall ensure that persons doing work under the organization's control are aware of:</w:t>
      </w:r>
    </w:p>
    <w:p w14:paraId="785B1E57">
      <w:pPr>
        <w:spacing w:before="0" w:after="100"/>
        <w:jc w:val="both"/>
      </w:pPr>
      <w:r>
        <w:rPr>
          <w:rFonts w:ascii="Times New Roman" w:hAnsi="Times New Roman" w:eastAsia="宋体"/>
          <w:b w:val="0"/>
          <w:i w:val="0"/>
          <w:color w:val="000000"/>
          <w:sz w:val="21"/>
        </w:rPr>
        <w:t>组织应确保在其控制下工作的人员知晓：</w:t>
      </w:r>
    </w:p>
    <w:p w14:paraId="7B47D12D">
      <w:pPr>
        <w:keepNext/>
        <w:spacing w:before="20" w:after="0"/>
        <w:ind w:left="357" w:hanging="357"/>
        <w:jc w:val="both"/>
      </w:pPr>
      <w:r>
        <w:rPr>
          <w:rFonts w:ascii="Times New Roman" w:hAnsi="Times New Roman" w:eastAsia="宋体"/>
          <w:b w:val="0"/>
          <w:i w:val="0"/>
          <w:color w:val="000000"/>
          <w:sz w:val="21"/>
        </w:rPr>
        <w:t>a) the quality policy;</w:t>
      </w:r>
    </w:p>
    <w:p w14:paraId="6E5D0F0B">
      <w:pPr>
        <w:spacing w:before="0" w:after="60"/>
        <w:ind w:left="357" w:hanging="357"/>
        <w:jc w:val="both"/>
      </w:pPr>
      <w:r>
        <w:rPr>
          <w:rFonts w:ascii="Times New Roman" w:hAnsi="Times New Roman" w:eastAsia="宋体"/>
          <w:b w:val="0"/>
          <w:i w:val="0"/>
          <w:color w:val="000000"/>
          <w:sz w:val="21"/>
        </w:rPr>
        <w:t>a) 质量方针；</w:t>
      </w:r>
    </w:p>
    <w:p w14:paraId="13C9180F">
      <w:pPr>
        <w:keepNext/>
        <w:spacing w:before="20" w:after="0"/>
        <w:ind w:left="357" w:hanging="357"/>
        <w:jc w:val="both"/>
      </w:pPr>
      <w:r>
        <w:rPr>
          <w:rFonts w:ascii="Times New Roman" w:hAnsi="Times New Roman" w:eastAsia="宋体"/>
          <w:b w:val="0"/>
          <w:i w:val="0"/>
          <w:color w:val="000000"/>
          <w:sz w:val="21"/>
        </w:rPr>
        <w:t>b) their contribution to the effectiveness of the quality management system, including the benefits of improved performance;</w:t>
      </w:r>
    </w:p>
    <w:p w14:paraId="0B51969F">
      <w:pPr>
        <w:spacing w:before="0" w:after="60"/>
        <w:ind w:left="357" w:hanging="357"/>
        <w:jc w:val="both"/>
      </w:pPr>
      <w:r>
        <w:rPr>
          <w:rFonts w:ascii="Times New Roman" w:hAnsi="Times New Roman" w:eastAsia="宋体"/>
          <w:b w:val="0"/>
          <w:i w:val="0"/>
          <w:color w:val="000000"/>
          <w:sz w:val="21"/>
        </w:rPr>
        <w:t>b) 其对质量管理体系有效性的贡献，包括改进绩效的益处；</w:t>
      </w:r>
    </w:p>
    <w:p w14:paraId="3EF41B51">
      <w:pPr>
        <w:keepNext/>
        <w:spacing w:before="20" w:after="0"/>
        <w:ind w:left="357" w:hanging="357"/>
        <w:jc w:val="both"/>
      </w:pPr>
      <w:r>
        <w:rPr>
          <w:rFonts w:ascii="Times New Roman" w:hAnsi="Times New Roman" w:eastAsia="宋体"/>
          <w:b w:val="0"/>
          <w:i w:val="0"/>
          <w:color w:val="000000"/>
          <w:sz w:val="21"/>
        </w:rPr>
        <w:t>c) the implications of not conforming to the quality management system requirements;</w:t>
      </w:r>
    </w:p>
    <w:p w14:paraId="2BD6D74D">
      <w:pPr>
        <w:spacing w:before="0" w:after="60"/>
        <w:ind w:left="357" w:hanging="357"/>
        <w:jc w:val="both"/>
      </w:pPr>
      <w:r>
        <w:rPr>
          <w:rFonts w:ascii="Times New Roman" w:hAnsi="Times New Roman" w:eastAsia="宋体"/>
          <w:b w:val="0"/>
          <w:i w:val="0"/>
          <w:color w:val="000000"/>
          <w:sz w:val="21"/>
        </w:rPr>
        <w:t>c) 不符合质量管理体系要求的后果；</w:t>
      </w:r>
    </w:p>
    <w:p w14:paraId="7F86E258">
      <w:pPr>
        <w:keepNext/>
        <w:spacing w:before="20" w:after="0"/>
        <w:ind w:left="357" w:hanging="357"/>
        <w:jc w:val="both"/>
      </w:pPr>
      <w:r>
        <w:rPr>
          <w:rFonts w:ascii="Times New Roman" w:hAnsi="Times New Roman" w:eastAsia="宋体"/>
          <w:b w:val="0"/>
          <w:i w:val="0"/>
          <w:color w:val="000000"/>
          <w:sz w:val="21"/>
        </w:rPr>
        <w:t>d) relevant quality objectives;</w:t>
      </w:r>
    </w:p>
    <w:p w14:paraId="79A661D0">
      <w:pPr>
        <w:spacing w:before="0" w:after="60"/>
        <w:ind w:left="357" w:hanging="357"/>
        <w:jc w:val="both"/>
      </w:pPr>
      <w:r>
        <w:rPr>
          <w:rFonts w:ascii="Times New Roman" w:hAnsi="Times New Roman" w:eastAsia="宋体"/>
          <w:b w:val="0"/>
          <w:i w:val="0"/>
          <w:color w:val="000000"/>
          <w:sz w:val="21"/>
        </w:rPr>
        <w:t>d) 相关的质量目标；</w:t>
      </w:r>
    </w:p>
    <w:p w14:paraId="71DF206C">
      <w:pPr>
        <w:keepNext/>
        <w:spacing w:before="20" w:after="0"/>
        <w:ind w:left="357" w:hanging="357"/>
        <w:jc w:val="both"/>
      </w:pPr>
      <w:r>
        <w:rPr>
          <w:rFonts w:ascii="Times New Roman" w:hAnsi="Times New Roman" w:eastAsia="宋体"/>
          <w:b w:val="0"/>
          <w:i w:val="0"/>
          <w:color w:val="000000"/>
          <w:sz w:val="21"/>
        </w:rPr>
        <w:t>e) the organizational quality culture and ethical behaviour.</w:t>
      </w:r>
    </w:p>
    <w:p w14:paraId="705CA5DC">
      <w:pPr>
        <w:spacing w:before="0" w:after="60"/>
        <w:ind w:left="357" w:hanging="357"/>
        <w:jc w:val="both"/>
      </w:pPr>
      <w:r>
        <w:rPr>
          <w:rFonts w:ascii="Times New Roman" w:hAnsi="Times New Roman" w:eastAsia="宋体"/>
          <w:b w:val="0"/>
          <w:i w:val="0"/>
          <w:color w:val="000000"/>
          <w:sz w:val="21"/>
        </w:rPr>
        <w:t>e) 组织的质量文化和道德行为。</w:t>
      </w:r>
    </w:p>
    <w:p w14:paraId="48812F4D">
      <w:pPr>
        <w:keepNext/>
        <w:spacing w:before="240" w:after="0"/>
        <w:jc w:val="left"/>
      </w:pPr>
      <w:r>
        <w:rPr>
          <w:rFonts w:ascii="Times New Roman" w:hAnsi="Times New Roman" w:eastAsia="宋体"/>
          <w:b/>
          <w:i w:val="0"/>
          <w:color w:val="000000"/>
          <w:sz w:val="24"/>
        </w:rPr>
        <w:t>7.4  Communication</w:t>
      </w:r>
    </w:p>
    <w:p w14:paraId="686F34D9">
      <w:pPr>
        <w:spacing w:before="0" w:after="80"/>
        <w:jc w:val="left"/>
      </w:pPr>
      <w:r>
        <w:rPr>
          <w:rFonts w:ascii="Times New Roman" w:hAnsi="Times New Roman" w:eastAsia="黑体"/>
          <w:b w:val="0"/>
          <w:i w:val="0"/>
          <w:color w:val="000000"/>
          <w:sz w:val="24"/>
        </w:rPr>
        <w:t>7.4  沟通</w:t>
      </w:r>
    </w:p>
    <w:p w14:paraId="609051E1">
      <w:pPr>
        <w:keepNext/>
        <w:spacing w:before="60" w:after="0"/>
        <w:jc w:val="both"/>
      </w:pPr>
      <w:r>
        <w:rPr>
          <w:rFonts w:ascii="Times New Roman" w:hAnsi="Times New Roman" w:eastAsia="宋体"/>
          <w:b w:val="0"/>
          <w:i w:val="0"/>
          <w:color w:val="000000"/>
          <w:sz w:val="21"/>
        </w:rPr>
        <w:t>The organization shall determine the internal and external communications relevant to the quality management system, including:</w:t>
      </w:r>
    </w:p>
    <w:p w14:paraId="17F1091E">
      <w:pPr>
        <w:spacing w:before="0" w:after="100"/>
        <w:jc w:val="both"/>
      </w:pPr>
      <w:r>
        <w:rPr>
          <w:rFonts w:ascii="Times New Roman" w:hAnsi="Times New Roman" w:eastAsia="宋体"/>
          <w:b w:val="0"/>
          <w:i w:val="0"/>
          <w:color w:val="000000"/>
          <w:sz w:val="21"/>
        </w:rPr>
        <w:t>组织应确定与质量管理体系相关的内部和外部沟通，包括：</w:t>
      </w:r>
    </w:p>
    <w:p w14:paraId="132BC36C">
      <w:pPr>
        <w:keepNext/>
        <w:spacing w:before="20" w:after="0"/>
        <w:ind w:left="357" w:hanging="357"/>
        <w:jc w:val="both"/>
      </w:pPr>
      <w:r>
        <w:rPr>
          <w:rFonts w:ascii="Times New Roman" w:hAnsi="Times New Roman" w:eastAsia="宋体"/>
          <w:b w:val="0"/>
          <w:i w:val="0"/>
          <w:color w:val="000000"/>
          <w:sz w:val="21"/>
        </w:rPr>
        <w:t>a) on what it will communicate;</w:t>
      </w:r>
    </w:p>
    <w:p w14:paraId="5705A645">
      <w:pPr>
        <w:spacing w:before="0" w:after="60"/>
        <w:ind w:left="357" w:hanging="357"/>
        <w:jc w:val="both"/>
      </w:pPr>
      <w:r>
        <w:rPr>
          <w:rFonts w:ascii="Times New Roman" w:hAnsi="Times New Roman" w:eastAsia="宋体"/>
          <w:b w:val="0"/>
          <w:i w:val="0"/>
          <w:color w:val="000000"/>
          <w:sz w:val="21"/>
        </w:rPr>
        <w:t>a) 沟通什么；</w:t>
      </w:r>
    </w:p>
    <w:p w14:paraId="5E84DCD9">
      <w:pPr>
        <w:keepNext/>
        <w:spacing w:before="20" w:after="0"/>
        <w:ind w:left="357" w:hanging="357"/>
        <w:jc w:val="both"/>
      </w:pPr>
      <w:r>
        <w:rPr>
          <w:rFonts w:ascii="Times New Roman" w:hAnsi="Times New Roman" w:eastAsia="宋体"/>
          <w:b w:val="0"/>
          <w:i w:val="0"/>
          <w:color w:val="000000"/>
          <w:sz w:val="21"/>
        </w:rPr>
        <w:t>b) when to communicate;</w:t>
      </w:r>
    </w:p>
    <w:p w14:paraId="38E2C962">
      <w:pPr>
        <w:spacing w:before="0" w:after="60"/>
        <w:ind w:left="357" w:hanging="357"/>
        <w:jc w:val="both"/>
      </w:pPr>
      <w:r>
        <w:rPr>
          <w:rFonts w:ascii="Times New Roman" w:hAnsi="Times New Roman" w:eastAsia="宋体"/>
          <w:b w:val="0"/>
          <w:i w:val="0"/>
          <w:color w:val="000000"/>
          <w:sz w:val="21"/>
        </w:rPr>
        <w:t>b) 何时沟通；</w:t>
      </w:r>
    </w:p>
    <w:p w14:paraId="3389FF8C">
      <w:pPr>
        <w:keepNext/>
        <w:spacing w:before="20" w:after="0"/>
        <w:ind w:left="357" w:hanging="357"/>
        <w:jc w:val="both"/>
      </w:pPr>
      <w:r>
        <w:rPr>
          <w:rFonts w:ascii="Times New Roman" w:hAnsi="Times New Roman" w:eastAsia="宋体"/>
          <w:b w:val="0"/>
          <w:i w:val="0"/>
          <w:color w:val="000000"/>
          <w:sz w:val="21"/>
        </w:rPr>
        <w:t>c) with whom to communicate;</w:t>
      </w:r>
    </w:p>
    <w:p w14:paraId="60095036">
      <w:pPr>
        <w:spacing w:before="0" w:after="60"/>
        <w:ind w:left="357" w:hanging="357"/>
        <w:jc w:val="both"/>
      </w:pPr>
      <w:r>
        <w:rPr>
          <w:rFonts w:ascii="Times New Roman" w:hAnsi="Times New Roman" w:eastAsia="宋体"/>
          <w:b w:val="0"/>
          <w:i w:val="0"/>
          <w:color w:val="000000"/>
          <w:sz w:val="21"/>
        </w:rPr>
        <w:t>c) 与谁沟通；</w:t>
      </w:r>
    </w:p>
    <w:p w14:paraId="2ED7E85C">
      <w:pPr>
        <w:keepNext/>
        <w:spacing w:before="20" w:after="0"/>
        <w:ind w:left="357" w:hanging="357"/>
        <w:jc w:val="both"/>
      </w:pPr>
      <w:r>
        <w:rPr>
          <w:rFonts w:ascii="Times New Roman" w:hAnsi="Times New Roman" w:eastAsia="宋体"/>
          <w:b w:val="0"/>
          <w:i w:val="0"/>
          <w:color w:val="000000"/>
          <w:sz w:val="21"/>
        </w:rPr>
        <w:t>d) how to communicate;</w:t>
      </w:r>
    </w:p>
    <w:p w14:paraId="32E1E901">
      <w:pPr>
        <w:spacing w:before="0" w:after="60"/>
        <w:ind w:left="357" w:hanging="357"/>
        <w:jc w:val="both"/>
      </w:pPr>
      <w:r>
        <w:rPr>
          <w:rFonts w:ascii="Times New Roman" w:hAnsi="Times New Roman" w:eastAsia="宋体"/>
          <w:b w:val="0"/>
          <w:i w:val="0"/>
          <w:color w:val="000000"/>
          <w:sz w:val="21"/>
        </w:rPr>
        <w:t>d) 如何沟通；</w:t>
      </w:r>
    </w:p>
    <w:p w14:paraId="11618429">
      <w:pPr>
        <w:keepNext/>
        <w:spacing w:before="20" w:after="0"/>
        <w:ind w:left="357" w:hanging="357"/>
        <w:jc w:val="both"/>
      </w:pPr>
      <w:r>
        <w:rPr>
          <w:rFonts w:ascii="Times New Roman" w:hAnsi="Times New Roman" w:eastAsia="宋体"/>
          <w:b w:val="0"/>
          <w:i w:val="0"/>
          <w:color w:val="000000"/>
          <w:sz w:val="21"/>
        </w:rPr>
        <w:t>e) who communicates.</w:t>
      </w:r>
    </w:p>
    <w:p w14:paraId="375F63C5">
      <w:pPr>
        <w:spacing w:before="0" w:after="60"/>
        <w:ind w:left="357" w:hanging="357"/>
        <w:jc w:val="both"/>
      </w:pPr>
      <w:r>
        <w:rPr>
          <w:rFonts w:ascii="Times New Roman" w:hAnsi="Times New Roman" w:eastAsia="宋体"/>
          <w:b w:val="0"/>
          <w:i w:val="0"/>
          <w:color w:val="000000"/>
          <w:sz w:val="21"/>
        </w:rPr>
        <w:t>e) 由谁沟通。</w:t>
      </w:r>
    </w:p>
    <w:p w14:paraId="6A66161A">
      <w:pPr>
        <w:keepNext/>
        <w:spacing w:before="240" w:after="0"/>
        <w:jc w:val="left"/>
      </w:pPr>
      <w:r>
        <w:rPr>
          <w:rFonts w:ascii="Times New Roman" w:hAnsi="Times New Roman" w:eastAsia="宋体"/>
          <w:b/>
          <w:i w:val="0"/>
          <w:color w:val="000000"/>
          <w:sz w:val="24"/>
        </w:rPr>
        <w:t>7.5  Documented information</w:t>
      </w:r>
    </w:p>
    <w:p w14:paraId="49CC0100">
      <w:pPr>
        <w:spacing w:before="0" w:after="80"/>
        <w:jc w:val="left"/>
      </w:pPr>
      <w:r>
        <w:rPr>
          <w:rFonts w:ascii="Times New Roman" w:hAnsi="Times New Roman" w:eastAsia="黑体"/>
          <w:b w:val="0"/>
          <w:i w:val="0"/>
          <w:color w:val="000000"/>
          <w:sz w:val="24"/>
        </w:rPr>
        <w:t>7.5  成文信息</w:t>
      </w:r>
    </w:p>
    <w:p w14:paraId="1E9B6BEB">
      <w:pPr>
        <w:keepNext/>
        <w:spacing w:before="200" w:after="0"/>
        <w:jc w:val="left"/>
      </w:pPr>
      <w:r>
        <w:rPr>
          <w:rFonts w:ascii="Times New Roman" w:hAnsi="Times New Roman" w:eastAsia="宋体"/>
          <w:b/>
          <w:i w:val="0"/>
          <w:color w:val="000000"/>
          <w:sz w:val="22"/>
        </w:rPr>
        <w:t>7.5.1  General</w:t>
      </w:r>
    </w:p>
    <w:p w14:paraId="488E15BB">
      <w:pPr>
        <w:spacing w:before="0" w:after="80"/>
        <w:jc w:val="left"/>
      </w:pPr>
      <w:r>
        <w:rPr>
          <w:rFonts w:ascii="Times New Roman" w:hAnsi="Times New Roman" w:eastAsia="黑体"/>
          <w:b w:val="0"/>
          <w:i w:val="0"/>
          <w:color w:val="000000"/>
          <w:sz w:val="22"/>
        </w:rPr>
        <w:t>7.5.1  总则</w:t>
      </w:r>
    </w:p>
    <w:p w14:paraId="045E84C3">
      <w:pPr>
        <w:keepNext/>
        <w:spacing w:before="60" w:after="0"/>
        <w:jc w:val="both"/>
      </w:pPr>
      <w:r>
        <w:rPr>
          <w:rFonts w:ascii="Times New Roman" w:hAnsi="Times New Roman" w:eastAsia="宋体"/>
          <w:b w:val="0"/>
          <w:i w:val="0"/>
          <w:color w:val="000000"/>
          <w:sz w:val="21"/>
        </w:rPr>
        <w:t>The organization's quality management system shall include:</w:t>
      </w:r>
    </w:p>
    <w:p w14:paraId="36E7E949">
      <w:pPr>
        <w:spacing w:before="0" w:after="100"/>
        <w:jc w:val="both"/>
      </w:pPr>
      <w:r>
        <w:rPr>
          <w:rFonts w:ascii="Times New Roman" w:hAnsi="Times New Roman" w:eastAsia="宋体"/>
          <w:b w:val="0"/>
          <w:i w:val="0"/>
          <w:color w:val="000000"/>
          <w:sz w:val="21"/>
        </w:rPr>
        <w:t>组织的质量管理体系应包括：</w:t>
      </w:r>
    </w:p>
    <w:p w14:paraId="72BAB3F2">
      <w:pPr>
        <w:keepNext/>
        <w:spacing w:before="20" w:after="0"/>
        <w:ind w:left="357" w:hanging="357"/>
        <w:jc w:val="both"/>
      </w:pPr>
      <w:r>
        <w:rPr>
          <w:rFonts w:ascii="Times New Roman" w:hAnsi="Times New Roman" w:eastAsia="宋体"/>
          <w:b w:val="0"/>
          <w:i w:val="0"/>
          <w:color w:val="000000"/>
          <w:sz w:val="21"/>
        </w:rPr>
        <w:t>a) documented information required by this document;</w:t>
      </w:r>
    </w:p>
    <w:p w14:paraId="267F3F8A">
      <w:pPr>
        <w:spacing w:before="0" w:after="60"/>
        <w:ind w:left="357" w:hanging="357"/>
        <w:jc w:val="both"/>
      </w:pPr>
      <w:r>
        <w:rPr>
          <w:rFonts w:ascii="Times New Roman" w:hAnsi="Times New Roman" w:eastAsia="宋体"/>
          <w:b w:val="0"/>
          <w:i w:val="0"/>
          <w:color w:val="000000"/>
          <w:sz w:val="21"/>
        </w:rPr>
        <w:t>a) 本文件所要求的成文信息；</w:t>
      </w:r>
    </w:p>
    <w:p w14:paraId="5279DB47">
      <w:pPr>
        <w:keepNext/>
        <w:spacing w:before="20" w:after="0"/>
        <w:ind w:left="357" w:hanging="357"/>
        <w:jc w:val="both"/>
      </w:pPr>
      <w:r>
        <w:rPr>
          <w:rFonts w:ascii="Times New Roman" w:hAnsi="Times New Roman" w:eastAsia="宋体"/>
          <w:b w:val="0"/>
          <w:i w:val="0"/>
          <w:color w:val="000000"/>
          <w:sz w:val="21"/>
        </w:rPr>
        <w:t>b) documented information determined by the organization as being necessary for the effectiveness of the quality management system.</w:t>
      </w:r>
    </w:p>
    <w:p w14:paraId="3BC8F87B">
      <w:pPr>
        <w:spacing w:before="0" w:after="60"/>
        <w:ind w:left="357" w:hanging="357"/>
        <w:jc w:val="both"/>
      </w:pPr>
      <w:r>
        <w:rPr>
          <w:rFonts w:ascii="Times New Roman" w:hAnsi="Times New Roman" w:eastAsia="宋体"/>
          <w:b w:val="0"/>
          <w:i w:val="0"/>
          <w:color w:val="000000"/>
          <w:sz w:val="21"/>
        </w:rPr>
        <w:t>b) 组织确定的、为质量管理体系有效性所必需的成文信息。</w:t>
      </w:r>
    </w:p>
    <w:p w14:paraId="3B68347A">
      <w:pPr>
        <w:keepNext/>
        <w:spacing w:before="20" w:after="0"/>
        <w:ind w:left="227"/>
        <w:jc w:val="both"/>
      </w:pPr>
      <w:r>
        <w:rPr>
          <w:rFonts w:ascii="Times New Roman" w:hAnsi="Times New Roman" w:eastAsia="宋体"/>
          <w:b w:val="0"/>
          <w:i/>
          <w:color w:val="000000"/>
          <w:sz w:val="20"/>
        </w:rPr>
        <w:t>NOTE — The extent of documented information for a quality management system can differ from one organization to another due to:</w:t>
      </w:r>
    </w:p>
    <w:p w14:paraId="1FA23CD2">
      <w:pPr>
        <w:spacing w:before="0" w:after="100"/>
        <w:ind w:left="227"/>
        <w:jc w:val="both"/>
      </w:pPr>
      <w:r>
        <w:rPr>
          <w:rFonts w:ascii="Times New Roman" w:hAnsi="Times New Roman" w:eastAsia="宋体"/>
          <w:b w:val="0"/>
          <w:i w:val="0"/>
          <w:color w:val="000000"/>
          <w:sz w:val="20"/>
        </w:rPr>
        <w:t>注：不同组织的质量管理体系成文信息的多少与详略程度可以不同，取决于：</w:t>
      </w:r>
    </w:p>
    <w:p w14:paraId="1B764424">
      <w:pPr>
        <w:keepNext/>
        <w:spacing w:before="20" w:after="0"/>
        <w:ind w:left="357" w:hanging="357"/>
        <w:jc w:val="both"/>
      </w:pPr>
      <w:r>
        <w:rPr>
          <w:rFonts w:ascii="Times New Roman" w:hAnsi="Times New Roman" w:eastAsia="宋体"/>
          <w:b w:val="0"/>
          <w:i w:val="0"/>
          <w:color w:val="000000"/>
          <w:sz w:val="21"/>
        </w:rPr>
        <w:t>— the size of organization and its type of activities, processes, products and services;</w:t>
      </w:r>
    </w:p>
    <w:p w14:paraId="58FA222D">
      <w:pPr>
        <w:spacing w:before="0" w:after="60"/>
        <w:ind w:left="357" w:hanging="357"/>
        <w:jc w:val="both"/>
      </w:pPr>
      <w:r>
        <w:rPr>
          <w:rFonts w:ascii="Times New Roman" w:hAnsi="Times New Roman" w:eastAsia="宋体"/>
          <w:b w:val="0"/>
          <w:i w:val="0"/>
          <w:color w:val="000000"/>
          <w:sz w:val="21"/>
        </w:rPr>
        <w:t>—— 组织的规模及其活动、过程、产品和服务的类型；</w:t>
      </w:r>
    </w:p>
    <w:p w14:paraId="190D9AE9">
      <w:pPr>
        <w:keepNext/>
        <w:spacing w:before="20" w:after="0"/>
        <w:ind w:left="357" w:hanging="357"/>
        <w:jc w:val="both"/>
      </w:pPr>
      <w:r>
        <w:rPr>
          <w:rFonts w:ascii="Times New Roman" w:hAnsi="Times New Roman" w:eastAsia="宋体"/>
          <w:b w:val="0"/>
          <w:i w:val="0"/>
          <w:color w:val="000000"/>
          <w:sz w:val="21"/>
        </w:rPr>
        <w:t>— the complexity of processes and their interactions;</w:t>
      </w:r>
    </w:p>
    <w:p w14:paraId="3F7C817B">
      <w:pPr>
        <w:spacing w:before="0" w:after="60"/>
        <w:ind w:left="357" w:hanging="357"/>
        <w:jc w:val="both"/>
      </w:pPr>
      <w:r>
        <w:rPr>
          <w:rFonts w:ascii="Times New Roman" w:hAnsi="Times New Roman" w:eastAsia="宋体"/>
          <w:b w:val="0"/>
          <w:i w:val="0"/>
          <w:color w:val="000000"/>
          <w:sz w:val="21"/>
        </w:rPr>
        <w:t>—— 过程及其相互作用的复杂程度；</w:t>
      </w:r>
    </w:p>
    <w:p w14:paraId="40AD4160">
      <w:pPr>
        <w:keepNext/>
        <w:spacing w:before="20" w:after="0"/>
        <w:ind w:left="357" w:hanging="357"/>
        <w:jc w:val="both"/>
      </w:pPr>
      <w:r>
        <w:rPr>
          <w:rFonts w:ascii="Times New Roman" w:hAnsi="Times New Roman" w:eastAsia="宋体"/>
          <w:b w:val="0"/>
          <w:i w:val="0"/>
          <w:color w:val="000000"/>
          <w:sz w:val="21"/>
        </w:rPr>
        <w:t>— the competence of persons.</w:t>
      </w:r>
    </w:p>
    <w:p w14:paraId="7A6AA84A">
      <w:pPr>
        <w:spacing w:before="0" w:after="60"/>
        <w:ind w:left="357" w:hanging="357"/>
        <w:jc w:val="both"/>
      </w:pPr>
      <w:r>
        <w:rPr>
          <w:rFonts w:ascii="Times New Roman" w:hAnsi="Times New Roman" w:eastAsia="宋体"/>
          <w:b w:val="0"/>
          <w:i w:val="0"/>
          <w:color w:val="000000"/>
          <w:sz w:val="21"/>
        </w:rPr>
        <w:t>—— 人员的能力。</w:t>
      </w:r>
    </w:p>
    <w:p w14:paraId="75BE4CE3">
      <w:pPr>
        <w:keepNext/>
        <w:spacing w:before="200" w:after="0"/>
        <w:jc w:val="left"/>
      </w:pPr>
      <w:r>
        <w:rPr>
          <w:rFonts w:ascii="Times New Roman" w:hAnsi="Times New Roman" w:eastAsia="宋体"/>
          <w:b/>
          <w:i w:val="0"/>
          <w:color w:val="000000"/>
          <w:sz w:val="22"/>
        </w:rPr>
        <w:t>7.5.2  Creating and updating documented information</w:t>
      </w:r>
    </w:p>
    <w:p w14:paraId="08AB5953">
      <w:pPr>
        <w:spacing w:before="0" w:after="80"/>
        <w:jc w:val="left"/>
      </w:pPr>
      <w:r>
        <w:rPr>
          <w:rFonts w:ascii="Times New Roman" w:hAnsi="Times New Roman" w:eastAsia="黑体"/>
          <w:b w:val="0"/>
          <w:i w:val="0"/>
          <w:color w:val="000000"/>
          <w:sz w:val="22"/>
        </w:rPr>
        <w:t>7.5.2  创建和更新成文信息</w:t>
      </w:r>
    </w:p>
    <w:p w14:paraId="4491BD3D">
      <w:pPr>
        <w:keepNext/>
        <w:spacing w:before="60" w:after="0"/>
        <w:jc w:val="both"/>
      </w:pPr>
      <w:r>
        <w:rPr>
          <w:rFonts w:ascii="Times New Roman" w:hAnsi="Times New Roman" w:eastAsia="宋体"/>
          <w:b w:val="0"/>
          <w:i w:val="0"/>
          <w:color w:val="000000"/>
          <w:sz w:val="21"/>
        </w:rPr>
        <w:t>When creating and updating documented information, the organization shall ensure appropriate:</w:t>
      </w:r>
    </w:p>
    <w:p w14:paraId="1C18FE6C">
      <w:pPr>
        <w:spacing w:before="0" w:after="100"/>
        <w:jc w:val="both"/>
      </w:pPr>
      <w:r>
        <w:rPr>
          <w:rFonts w:ascii="Times New Roman" w:hAnsi="Times New Roman" w:eastAsia="宋体"/>
          <w:b w:val="0"/>
          <w:i w:val="0"/>
          <w:color w:val="000000"/>
          <w:sz w:val="21"/>
        </w:rPr>
        <w:t>在创建和更新成文信息时，组织应确保对以下方面作出适当的安排：</w:t>
      </w:r>
    </w:p>
    <w:p w14:paraId="6D216FF9">
      <w:pPr>
        <w:keepNext/>
        <w:spacing w:before="20" w:after="0"/>
        <w:ind w:left="357" w:hanging="357"/>
        <w:jc w:val="both"/>
      </w:pPr>
      <w:r>
        <w:rPr>
          <w:rFonts w:ascii="Times New Roman" w:hAnsi="Times New Roman" w:eastAsia="宋体"/>
          <w:b w:val="0"/>
          <w:i w:val="0"/>
          <w:color w:val="000000"/>
          <w:sz w:val="21"/>
        </w:rPr>
        <w:t>a) identification and description (e.g. a title, date, author, reference number);</w:t>
      </w:r>
    </w:p>
    <w:p w14:paraId="1354C66A">
      <w:pPr>
        <w:spacing w:before="0" w:after="60"/>
        <w:ind w:left="357" w:hanging="357"/>
        <w:jc w:val="both"/>
      </w:pPr>
      <w:r>
        <w:rPr>
          <w:rFonts w:ascii="Times New Roman" w:hAnsi="Times New Roman" w:eastAsia="宋体"/>
          <w:b w:val="0"/>
          <w:i w:val="0"/>
          <w:color w:val="000000"/>
          <w:sz w:val="21"/>
        </w:rPr>
        <w:t>a) 标识和说明（如标题、日期、作者、编号）；</w:t>
      </w:r>
    </w:p>
    <w:p w14:paraId="493DC5E3">
      <w:pPr>
        <w:keepNext/>
        <w:spacing w:before="20" w:after="0"/>
        <w:ind w:left="357" w:hanging="357"/>
        <w:jc w:val="both"/>
      </w:pPr>
      <w:r>
        <w:rPr>
          <w:rFonts w:ascii="Times New Roman" w:hAnsi="Times New Roman" w:eastAsia="宋体"/>
          <w:b w:val="0"/>
          <w:i w:val="0"/>
          <w:color w:val="000000"/>
          <w:sz w:val="21"/>
        </w:rPr>
        <w:t>b) format (e.g. language, software version, graphics) and media (e.g. paper, electronic);</w:t>
      </w:r>
    </w:p>
    <w:p w14:paraId="4157F45A">
      <w:pPr>
        <w:spacing w:before="0" w:after="60"/>
        <w:ind w:left="357" w:hanging="357"/>
        <w:jc w:val="both"/>
      </w:pPr>
      <w:r>
        <w:rPr>
          <w:rFonts w:ascii="Times New Roman" w:hAnsi="Times New Roman" w:eastAsia="宋体"/>
          <w:b w:val="0"/>
          <w:i w:val="0"/>
          <w:color w:val="000000"/>
          <w:sz w:val="21"/>
        </w:rPr>
        <w:t>b) 格式（如语言、软件版本、图示）和载体（如纸质、电子媒介）；</w:t>
      </w:r>
    </w:p>
    <w:p w14:paraId="6680354D">
      <w:pPr>
        <w:keepNext/>
        <w:spacing w:before="20" w:after="0"/>
        <w:ind w:left="357" w:hanging="357"/>
        <w:jc w:val="both"/>
      </w:pPr>
      <w:r>
        <w:rPr>
          <w:rFonts w:ascii="Times New Roman" w:hAnsi="Times New Roman" w:eastAsia="宋体"/>
          <w:b w:val="0"/>
          <w:i w:val="0"/>
          <w:color w:val="000000"/>
          <w:sz w:val="21"/>
        </w:rPr>
        <w:t>c) review and approval for suitability and adequacy.</w:t>
      </w:r>
    </w:p>
    <w:p w14:paraId="014AFA24">
      <w:pPr>
        <w:spacing w:before="0" w:after="60"/>
        <w:ind w:left="357" w:hanging="357"/>
        <w:jc w:val="both"/>
      </w:pPr>
      <w:r>
        <w:rPr>
          <w:rFonts w:ascii="Times New Roman" w:hAnsi="Times New Roman" w:eastAsia="宋体"/>
          <w:b w:val="0"/>
          <w:i w:val="0"/>
          <w:color w:val="000000"/>
          <w:sz w:val="21"/>
        </w:rPr>
        <w:t>c) 为确保适宜性和充分性所需的评审和批准。</w:t>
      </w:r>
    </w:p>
    <w:p w14:paraId="5332AA51">
      <w:pPr>
        <w:keepNext/>
        <w:spacing w:before="200" w:after="0"/>
        <w:jc w:val="left"/>
      </w:pPr>
      <w:r>
        <w:rPr>
          <w:rFonts w:ascii="Times New Roman" w:hAnsi="Times New Roman" w:eastAsia="宋体"/>
          <w:b/>
          <w:i w:val="0"/>
          <w:color w:val="000000"/>
          <w:sz w:val="22"/>
        </w:rPr>
        <w:t>7.5.3  Control of documented information</w:t>
      </w:r>
    </w:p>
    <w:p w14:paraId="6BB3ACB0">
      <w:pPr>
        <w:spacing w:before="0" w:after="80"/>
        <w:jc w:val="left"/>
      </w:pPr>
      <w:r>
        <w:rPr>
          <w:rFonts w:ascii="Times New Roman" w:hAnsi="Times New Roman" w:eastAsia="黑体"/>
          <w:b w:val="0"/>
          <w:i w:val="0"/>
          <w:color w:val="000000"/>
          <w:sz w:val="22"/>
        </w:rPr>
        <w:t>7.5.3  成文信息的控制</w:t>
      </w:r>
    </w:p>
    <w:p w14:paraId="66864DB3">
      <w:pPr>
        <w:keepNext/>
        <w:spacing w:before="60" w:after="0"/>
        <w:jc w:val="both"/>
      </w:pPr>
      <w:r>
        <w:rPr>
          <w:rFonts w:ascii="Times New Roman" w:hAnsi="Times New Roman" w:eastAsia="宋体"/>
          <w:b w:val="0"/>
          <w:i w:val="0"/>
          <w:color w:val="000000"/>
          <w:sz w:val="21"/>
        </w:rPr>
        <w:t>7.5.3.1　Documented information required by the quality management system and by this document shall be controlled to ensure:</w:t>
      </w:r>
    </w:p>
    <w:p w14:paraId="0DEA439C">
      <w:pPr>
        <w:spacing w:before="0" w:after="100"/>
        <w:jc w:val="both"/>
      </w:pPr>
      <w:r>
        <w:rPr>
          <w:rFonts w:ascii="Times New Roman" w:hAnsi="Times New Roman" w:eastAsia="宋体"/>
          <w:b w:val="0"/>
          <w:i w:val="0"/>
          <w:color w:val="000000"/>
          <w:sz w:val="21"/>
        </w:rPr>
        <w:t>7.5.3.1　质量管理体系和本文件所要求的成文信息应予以控制，以确保：</w:t>
      </w:r>
    </w:p>
    <w:p w14:paraId="593990D9">
      <w:pPr>
        <w:keepNext/>
        <w:spacing w:before="20" w:after="0"/>
        <w:ind w:left="357" w:hanging="357"/>
        <w:jc w:val="both"/>
      </w:pPr>
      <w:r>
        <w:rPr>
          <w:rFonts w:ascii="Times New Roman" w:hAnsi="Times New Roman" w:eastAsia="宋体"/>
          <w:b w:val="0"/>
          <w:i w:val="0"/>
          <w:color w:val="000000"/>
          <w:sz w:val="21"/>
        </w:rPr>
        <w:t>a) it is available and suitable for use, where and when it is needed;</w:t>
      </w:r>
    </w:p>
    <w:p w14:paraId="69AC3254">
      <w:pPr>
        <w:spacing w:before="0" w:after="60"/>
        <w:ind w:left="357" w:hanging="357"/>
        <w:jc w:val="both"/>
      </w:pPr>
      <w:r>
        <w:rPr>
          <w:rFonts w:ascii="Times New Roman" w:hAnsi="Times New Roman" w:eastAsia="宋体"/>
          <w:b w:val="0"/>
          <w:i w:val="0"/>
          <w:color w:val="000000"/>
          <w:sz w:val="21"/>
        </w:rPr>
        <w:t>a) 在需要的场所和时机，均可获得且适合使用；</w:t>
      </w:r>
    </w:p>
    <w:p w14:paraId="6CA9096B">
      <w:pPr>
        <w:keepNext/>
        <w:spacing w:before="20" w:after="0"/>
        <w:ind w:left="357" w:hanging="357"/>
        <w:jc w:val="both"/>
      </w:pPr>
      <w:r>
        <w:rPr>
          <w:rFonts w:ascii="Times New Roman" w:hAnsi="Times New Roman" w:eastAsia="宋体"/>
          <w:b w:val="0"/>
          <w:i w:val="0"/>
          <w:color w:val="000000"/>
          <w:sz w:val="21"/>
        </w:rPr>
        <w:t>b) it is adequately protected (e.g. from loss of confidentiality, improper use or loss of integrity).</w:t>
      </w:r>
    </w:p>
    <w:p w14:paraId="276AF55E">
      <w:pPr>
        <w:spacing w:before="0" w:after="60"/>
        <w:ind w:left="357" w:hanging="357"/>
        <w:jc w:val="both"/>
      </w:pPr>
      <w:r>
        <w:rPr>
          <w:rFonts w:ascii="Times New Roman" w:hAnsi="Times New Roman" w:eastAsia="宋体"/>
          <w:b w:val="0"/>
          <w:i w:val="0"/>
          <w:color w:val="000000"/>
          <w:sz w:val="21"/>
        </w:rPr>
        <w:t>b) 得到充分保护（如防止泄密、不当使用或完整性受损）。</w:t>
      </w:r>
    </w:p>
    <w:p w14:paraId="276BCDEF">
      <w:pPr>
        <w:keepNext/>
        <w:spacing w:before="60" w:after="0"/>
        <w:jc w:val="both"/>
      </w:pPr>
      <w:r>
        <w:rPr>
          <w:rFonts w:ascii="Times New Roman" w:hAnsi="Times New Roman" w:eastAsia="宋体"/>
          <w:b w:val="0"/>
          <w:i w:val="0"/>
          <w:color w:val="000000"/>
          <w:sz w:val="21"/>
        </w:rPr>
        <w:t>7.5.3.2　For the control of documented information, the organization shall address the following activities, as applicable:</w:t>
      </w:r>
    </w:p>
    <w:p w14:paraId="6AD22429">
      <w:pPr>
        <w:spacing w:before="0" w:after="100"/>
        <w:jc w:val="both"/>
      </w:pPr>
      <w:r>
        <w:rPr>
          <w:rFonts w:ascii="Times New Roman" w:hAnsi="Times New Roman" w:eastAsia="宋体"/>
          <w:b w:val="0"/>
          <w:i w:val="0"/>
          <w:color w:val="000000"/>
          <w:sz w:val="21"/>
        </w:rPr>
        <w:t>7.5.3.2　为控制成文信息，适用时，组织应进行以下活动：</w:t>
      </w:r>
    </w:p>
    <w:p w14:paraId="1734816D">
      <w:pPr>
        <w:keepNext/>
        <w:spacing w:before="20" w:after="0"/>
        <w:ind w:left="357" w:hanging="357"/>
        <w:jc w:val="both"/>
      </w:pPr>
      <w:r>
        <w:rPr>
          <w:rFonts w:ascii="Times New Roman" w:hAnsi="Times New Roman" w:eastAsia="宋体"/>
          <w:b w:val="0"/>
          <w:i w:val="0"/>
          <w:color w:val="000000"/>
          <w:sz w:val="21"/>
        </w:rPr>
        <w:t>a) distribution, access, retrieval and use;</w:t>
      </w:r>
    </w:p>
    <w:p w14:paraId="6307C395">
      <w:pPr>
        <w:spacing w:before="0" w:after="60"/>
        <w:ind w:left="357" w:hanging="357"/>
        <w:jc w:val="both"/>
      </w:pPr>
      <w:r>
        <w:rPr>
          <w:rFonts w:ascii="Times New Roman" w:hAnsi="Times New Roman" w:eastAsia="宋体"/>
          <w:b w:val="0"/>
          <w:i w:val="0"/>
          <w:color w:val="000000"/>
          <w:sz w:val="21"/>
        </w:rPr>
        <w:t>a) 分发、访问、检索和使用；</w:t>
      </w:r>
    </w:p>
    <w:p w14:paraId="24E09854">
      <w:pPr>
        <w:keepNext/>
        <w:spacing w:before="20" w:after="0"/>
        <w:ind w:left="357" w:hanging="357"/>
        <w:jc w:val="both"/>
      </w:pPr>
      <w:r>
        <w:rPr>
          <w:rFonts w:ascii="Times New Roman" w:hAnsi="Times New Roman" w:eastAsia="宋体"/>
          <w:b w:val="0"/>
          <w:i w:val="0"/>
          <w:color w:val="000000"/>
          <w:sz w:val="21"/>
        </w:rPr>
        <w:t>b) storage and preservation, including preservation of legibility;</w:t>
      </w:r>
    </w:p>
    <w:p w14:paraId="0DD6DAFF">
      <w:pPr>
        <w:spacing w:before="0" w:after="60"/>
        <w:ind w:left="357" w:hanging="357"/>
        <w:jc w:val="both"/>
      </w:pPr>
      <w:r>
        <w:rPr>
          <w:rFonts w:ascii="Times New Roman" w:hAnsi="Times New Roman" w:eastAsia="宋体"/>
          <w:b w:val="0"/>
          <w:i w:val="0"/>
          <w:color w:val="000000"/>
          <w:sz w:val="21"/>
        </w:rPr>
        <w:t>b) 存储和防护，包括保持可读性；</w:t>
      </w:r>
    </w:p>
    <w:p w14:paraId="6D645281">
      <w:pPr>
        <w:keepNext/>
        <w:spacing w:before="20" w:after="0"/>
        <w:ind w:left="357" w:hanging="357"/>
        <w:jc w:val="both"/>
      </w:pPr>
      <w:r>
        <w:rPr>
          <w:rFonts w:ascii="Times New Roman" w:hAnsi="Times New Roman" w:eastAsia="宋体"/>
          <w:b w:val="0"/>
          <w:i w:val="0"/>
          <w:color w:val="000000"/>
          <w:sz w:val="21"/>
        </w:rPr>
        <w:t>c) control of changes (e.g. version control);</w:t>
      </w:r>
    </w:p>
    <w:p w14:paraId="091DE56B">
      <w:pPr>
        <w:spacing w:before="0" w:after="60"/>
        <w:ind w:left="357" w:hanging="357"/>
        <w:jc w:val="both"/>
      </w:pPr>
      <w:r>
        <w:rPr>
          <w:rFonts w:ascii="Times New Roman" w:hAnsi="Times New Roman" w:eastAsia="宋体"/>
          <w:b w:val="0"/>
          <w:i w:val="0"/>
          <w:color w:val="000000"/>
          <w:sz w:val="21"/>
        </w:rPr>
        <w:t>c) 变更控制（如版本控制）；</w:t>
      </w:r>
    </w:p>
    <w:p w14:paraId="15D4FB3A">
      <w:pPr>
        <w:keepNext/>
        <w:spacing w:before="20" w:after="0"/>
        <w:ind w:left="357" w:hanging="357"/>
        <w:jc w:val="both"/>
      </w:pPr>
      <w:r>
        <w:rPr>
          <w:rFonts w:ascii="Times New Roman" w:hAnsi="Times New Roman" w:eastAsia="宋体"/>
          <w:b w:val="0"/>
          <w:i w:val="0"/>
          <w:color w:val="000000"/>
          <w:sz w:val="21"/>
        </w:rPr>
        <w:t>d) retention and disposition.</w:t>
      </w:r>
    </w:p>
    <w:p w14:paraId="52FE9B91">
      <w:pPr>
        <w:spacing w:before="0" w:after="60"/>
        <w:ind w:left="357" w:hanging="357"/>
        <w:jc w:val="both"/>
      </w:pPr>
      <w:r>
        <w:rPr>
          <w:rFonts w:ascii="Times New Roman" w:hAnsi="Times New Roman" w:eastAsia="宋体"/>
          <w:b w:val="0"/>
          <w:i w:val="0"/>
          <w:color w:val="000000"/>
          <w:sz w:val="21"/>
        </w:rPr>
        <w:t>d) 保留和处置。</w:t>
      </w:r>
    </w:p>
    <w:p w14:paraId="1F23515B">
      <w:pPr>
        <w:keepNext/>
        <w:spacing w:before="60" w:after="0"/>
        <w:jc w:val="both"/>
      </w:pPr>
      <w:r>
        <w:rPr>
          <w:rFonts w:ascii="Times New Roman" w:hAnsi="Times New Roman" w:eastAsia="宋体"/>
          <w:b w:val="0"/>
          <w:i w:val="0"/>
          <w:color w:val="000000"/>
          <w:sz w:val="21"/>
        </w:rPr>
        <w:t>Documented information of external origin determined by the organization to be necessary for the planning and operation of the quality management system shall be identified as appropriate and controlled.</w:t>
      </w:r>
    </w:p>
    <w:p w14:paraId="004ECE46">
      <w:pPr>
        <w:spacing w:before="0" w:after="100"/>
        <w:jc w:val="both"/>
      </w:pPr>
      <w:r>
        <w:rPr>
          <w:rFonts w:ascii="Times New Roman" w:hAnsi="Times New Roman" w:eastAsia="宋体"/>
          <w:b w:val="0"/>
          <w:i w:val="0"/>
          <w:color w:val="000000"/>
          <w:sz w:val="21"/>
        </w:rPr>
        <w:t>组织确定的、对质量管理体系的策划和运行所必需的来自外部的成文信息，应予以适当识别和控制。</w:t>
      </w:r>
    </w:p>
    <w:p w14:paraId="617A2B4A">
      <w:pPr>
        <w:keepNext/>
        <w:spacing w:before="60" w:after="0"/>
        <w:jc w:val="both"/>
      </w:pPr>
      <w:r>
        <w:rPr>
          <w:rFonts w:ascii="Times New Roman" w:hAnsi="Times New Roman" w:eastAsia="宋体"/>
          <w:b w:val="0"/>
          <w:i w:val="0"/>
          <w:color w:val="000000"/>
          <w:sz w:val="21"/>
        </w:rPr>
        <w:t>Documented information available as evidence of conformity shall be protected from unintended alterations.</w:t>
      </w:r>
    </w:p>
    <w:p w14:paraId="46122A27">
      <w:pPr>
        <w:spacing w:before="0" w:after="100"/>
        <w:jc w:val="both"/>
      </w:pPr>
      <w:r>
        <w:rPr>
          <w:rFonts w:ascii="Times New Roman" w:hAnsi="Times New Roman" w:eastAsia="宋体"/>
          <w:b w:val="0"/>
          <w:i w:val="0"/>
          <w:color w:val="000000"/>
          <w:sz w:val="21"/>
        </w:rPr>
        <w:t>作为符合性证据而使用的成文信息，应予以防护，防止非预期的更改。</w:t>
      </w:r>
    </w:p>
    <w:p w14:paraId="7B5C2F4A">
      <w:pPr>
        <w:keepNext/>
        <w:spacing w:before="20" w:after="0"/>
        <w:ind w:left="227"/>
        <w:jc w:val="both"/>
      </w:pPr>
      <w:r>
        <w:rPr>
          <w:rFonts w:ascii="Times New Roman" w:hAnsi="Times New Roman" w:eastAsia="宋体"/>
          <w:b w:val="0"/>
          <w:i/>
          <w:color w:val="000000"/>
          <w:sz w:val="20"/>
        </w:rPr>
        <w:t>NOTE — Access can imply a decision regarding the permission to view the documented information only, or the permission and authority to view and change the documented information.</w:t>
      </w:r>
    </w:p>
    <w:p w14:paraId="7AFDC146">
      <w:pPr>
        <w:spacing w:before="0" w:after="100"/>
        <w:ind w:left="227"/>
        <w:jc w:val="both"/>
      </w:pPr>
      <w:r>
        <w:rPr>
          <w:rFonts w:ascii="Times New Roman" w:hAnsi="Times New Roman" w:eastAsia="宋体"/>
          <w:b w:val="0"/>
          <w:i w:val="0"/>
          <w:color w:val="000000"/>
          <w:sz w:val="20"/>
        </w:rPr>
        <w:t>注：对成文信息的“访问”可能意味着仅允许查阅的许可，或允许查阅并更改的许可和授权。</w:t>
      </w:r>
    </w:p>
    <w:p w14:paraId="5501D893">
      <w:pPr>
        <w:keepNext/>
        <w:spacing w:before="320" w:after="0"/>
        <w:jc w:val="left"/>
      </w:pPr>
      <w:r>
        <w:rPr>
          <w:rFonts w:ascii="Times New Roman" w:hAnsi="Times New Roman" w:eastAsia="宋体"/>
          <w:b/>
          <w:i w:val="0"/>
          <w:color w:val="000000"/>
          <w:sz w:val="28"/>
        </w:rPr>
        <w:t>8  Operation</w:t>
      </w:r>
    </w:p>
    <w:p w14:paraId="20488E6D">
      <w:pPr>
        <w:pBdr>
          <w:bottom w:val="single" w:color="C01E2E" w:sz="8" w:space="2"/>
        </w:pBdr>
        <w:spacing w:before="0" w:after="100"/>
        <w:jc w:val="left"/>
      </w:pPr>
      <w:r>
        <w:rPr>
          <w:rFonts w:ascii="Times New Roman" w:hAnsi="Times New Roman" w:eastAsia="黑体"/>
          <w:b w:val="0"/>
          <w:i w:val="0"/>
          <w:color w:val="000000"/>
          <w:sz w:val="28"/>
        </w:rPr>
        <w:t>8  运行</w:t>
      </w:r>
    </w:p>
    <w:p w14:paraId="14086613">
      <w:pPr>
        <w:keepNext/>
        <w:spacing w:before="240" w:after="0"/>
        <w:jc w:val="left"/>
      </w:pPr>
      <w:r>
        <w:rPr>
          <w:rFonts w:ascii="Times New Roman" w:hAnsi="Times New Roman" w:eastAsia="宋体"/>
          <w:b/>
          <w:i w:val="0"/>
          <w:color w:val="000000"/>
          <w:sz w:val="24"/>
        </w:rPr>
        <w:t>8.1  Operational planning and control</w:t>
      </w:r>
    </w:p>
    <w:p w14:paraId="57F09B0D">
      <w:pPr>
        <w:spacing w:before="0" w:after="80"/>
        <w:jc w:val="left"/>
      </w:pPr>
      <w:r>
        <w:rPr>
          <w:rFonts w:ascii="Times New Roman" w:hAnsi="Times New Roman" w:eastAsia="黑体"/>
          <w:b w:val="0"/>
          <w:i w:val="0"/>
          <w:color w:val="000000"/>
          <w:sz w:val="24"/>
        </w:rPr>
        <w:t>8.1  运行策划和控制</w:t>
      </w:r>
    </w:p>
    <w:p w14:paraId="2C9DCE4F">
      <w:pPr>
        <w:keepNext/>
        <w:spacing w:before="60" w:after="0"/>
        <w:jc w:val="both"/>
      </w:pPr>
      <w:r>
        <w:rPr>
          <w:rFonts w:ascii="Times New Roman" w:hAnsi="Times New Roman" w:eastAsia="宋体"/>
          <w:b w:val="0"/>
          <w:i w:val="0"/>
          <w:color w:val="000000"/>
          <w:sz w:val="21"/>
        </w:rPr>
        <w:t>The organization shall plan, implement and control the processes needed to meet requirements for the provision of products and services, and to implement the actions determined in Clause 6, by:</w:t>
      </w:r>
    </w:p>
    <w:p w14:paraId="62349C33">
      <w:pPr>
        <w:spacing w:before="0" w:after="100"/>
        <w:jc w:val="both"/>
      </w:pPr>
      <w:r>
        <w:rPr>
          <w:rFonts w:ascii="Times New Roman" w:hAnsi="Times New Roman" w:eastAsia="宋体"/>
          <w:b w:val="0"/>
          <w:i w:val="0"/>
          <w:color w:val="000000"/>
          <w:sz w:val="21"/>
        </w:rPr>
        <w:t>组织应通过下列措施，策划、实施和控制为满足产品和服务提供要求所需的过程，并实施第6章所确定的措施：</w:t>
      </w:r>
    </w:p>
    <w:p w14:paraId="60B15D8C">
      <w:pPr>
        <w:keepNext/>
        <w:spacing w:before="20" w:after="0"/>
        <w:ind w:left="357" w:hanging="357"/>
        <w:jc w:val="both"/>
      </w:pPr>
      <w:r>
        <w:rPr>
          <w:rFonts w:ascii="Times New Roman" w:hAnsi="Times New Roman" w:eastAsia="宋体"/>
          <w:b w:val="0"/>
          <w:i w:val="0"/>
          <w:color w:val="000000"/>
          <w:sz w:val="21"/>
        </w:rPr>
        <w:t>a) determining the requirements for products and services (see 8.2);</w:t>
      </w:r>
    </w:p>
    <w:p w14:paraId="7BDA31D5">
      <w:pPr>
        <w:spacing w:before="0" w:after="60"/>
        <w:ind w:left="357" w:hanging="357"/>
        <w:jc w:val="both"/>
      </w:pPr>
      <w:r>
        <w:rPr>
          <w:rFonts w:ascii="Times New Roman" w:hAnsi="Times New Roman" w:eastAsia="宋体"/>
          <w:b w:val="0"/>
          <w:i w:val="0"/>
          <w:color w:val="000000"/>
          <w:sz w:val="21"/>
        </w:rPr>
        <w:t>a) 确定产品和服务的要求（见8.2）；</w:t>
      </w:r>
    </w:p>
    <w:p w14:paraId="7DCE5E3C">
      <w:pPr>
        <w:keepNext/>
        <w:spacing w:before="20" w:after="0"/>
        <w:ind w:left="357" w:hanging="357"/>
        <w:jc w:val="both"/>
      </w:pPr>
      <w:r>
        <w:rPr>
          <w:rFonts w:ascii="Times New Roman" w:hAnsi="Times New Roman" w:eastAsia="宋体"/>
          <w:b w:val="0"/>
          <w:i w:val="0"/>
          <w:color w:val="000000"/>
          <w:sz w:val="21"/>
        </w:rPr>
        <w:t>b) establishing criteria for the acceptance of products and services;</w:t>
      </w:r>
    </w:p>
    <w:p w14:paraId="7E1014AC">
      <w:pPr>
        <w:spacing w:before="0" w:after="60"/>
        <w:ind w:left="357" w:hanging="357"/>
        <w:jc w:val="both"/>
      </w:pPr>
      <w:r>
        <w:rPr>
          <w:rFonts w:ascii="Times New Roman" w:hAnsi="Times New Roman" w:eastAsia="宋体"/>
          <w:b w:val="0"/>
          <w:i w:val="0"/>
          <w:color w:val="000000"/>
          <w:sz w:val="21"/>
        </w:rPr>
        <w:t>b) 建立产品和服务的接受准则；</w:t>
      </w:r>
    </w:p>
    <w:p w14:paraId="03497CA8">
      <w:pPr>
        <w:keepNext/>
        <w:spacing w:before="20" w:after="0"/>
        <w:ind w:left="357" w:hanging="357"/>
        <w:jc w:val="both"/>
      </w:pPr>
      <w:r>
        <w:rPr>
          <w:rFonts w:ascii="Times New Roman" w:hAnsi="Times New Roman" w:eastAsia="宋体"/>
          <w:b w:val="0"/>
          <w:i w:val="0"/>
          <w:color w:val="000000"/>
          <w:sz w:val="21"/>
        </w:rPr>
        <w:t>c) establishing criteria for the processes;</w:t>
      </w:r>
    </w:p>
    <w:p w14:paraId="74E0C1A2">
      <w:pPr>
        <w:spacing w:before="0" w:after="60"/>
        <w:ind w:left="357" w:hanging="357"/>
        <w:jc w:val="both"/>
      </w:pPr>
      <w:r>
        <w:rPr>
          <w:rFonts w:ascii="Times New Roman" w:hAnsi="Times New Roman" w:eastAsia="宋体"/>
          <w:b w:val="0"/>
          <w:i w:val="0"/>
          <w:color w:val="000000"/>
          <w:sz w:val="21"/>
        </w:rPr>
        <w:t>c) 建立过程的准则；</w:t>
      </w:r>
    </w:p>
    <w:p w14:paraId="1A38EF6C">
      <w:pPr>
        <w:keepNext/>
        <w:spacing w:before="20" w:after="0"/>
        <w:ind w:left="357" w:hanging="357"/>
        <w:jc w:val="both"/>
      </w:pPr>
      <w:r>
        <w:rPr>
          <w:rFonts w:ascii="Times New Roman" w:hAnsi="Times New Roman" w:eastAsia="宋体"/>
          <w:b w:val="0"/>
          <w:i w:val="0"/>
          <w:color w:val="000000"/>
          <w:sz w:val="21"/>
        </w:rPr>
        <w:t>d) implementing control of the processes in accordance with the criteria;</w:t>
      </w:r>
    </w:p>
    <w:p w14:paraId="4E3687CE">
      <w:pPr>
        <w:spacing w:before="0" w:after="60"/>
        <w:ind w:left="357" w:hanging="357"/>
        <w:jc w:val="both"/>
      </w:pPr>
      <w:r>
        <w:rPr>
          <w:rFonts w:ascii="Times New Roman" w:hAnsi="Times New Roman" w:eastAsia="宋体"/>
          <w:b w:val="0"/>
          <w:i w:val="0"/>
          <w:color w:val="000000"/>
          <w:sz w:val="21"/>
        </w:rPr>
        <w:t>d) 按照准则实施过程控制；</w:t>
      </w:r>
    </w:p>
    <w:p w14:paraId="558A6585">
      <w:pPr>
        <w:keepNext/>
        <w:spacing w:before="20" w:after="0"/>
        <w:ind w:left="357" w:hanging="357"/>
        <w:jc w:val="both"/>
      </w:pPr>
      <w:r>
        <w:rPr>
          <w:rFonts w:ascii="Times New Roman" w:hAnsi="Times New Roman" w:eastAsia="宋体"/>
          <w:b w:val="0"/>
          <w:i w:val="0"/>
          <w:color w:val="000000"/>
          <w:sz w:val="21"/>
        </w:rPr>
        <w:t>e) determining the resources needed to achieve conformity to the product and service requirements.</w:t>
      </w:r>
    </w:p>
    <w:p w14:paraId="385CF511">
      <w:pPr>
        <w:spacing w:before="0" w:after="60"/>
        <w:ind w:left="357" w:hanging="357"/>
        <w:jc w:val="both"/>
      </w:pPr>
      <w:r>
        <w:rPr>
          <w:rFonts w:ascii="Times New Roman" w:hAnsi="Times New Roman" w:eastAsia="宋体"/>
          <w:b w:val="0"/>
          <w:i w:val="0"/>
          <w:color w:val="000000"/>
          <w:sz w:val="21"/>
        </w:rPr>
        <w:t>e) 确定实现产品和服务要求符合性所需的资源。</w:t>
      </w:r>
    </w:p>
    <w:p w14:paraId="5659B972">
      <w:pPr>
        <w:keepNext/>
        <w:spacing w:before="60" w:after="0"/>
        <w:jc w:val="both"/>
      </w:pPr>
      <w:r>
        <w:rPr>
          <w:rFonts w:ascii="Times New Roman" w:hAnsi="Times New Roman" w:eastAsia="宋体"/>
          <w:b w:val="0"/>
          <w:i w:val="0"/>
          <w:color w:val="000000"/>
          <w:sz w:val="21"/>
        </w:rPr>
        <w:t>Documented information shall be available to the extent necessary to have confidence that the processes have been carried out as planned.</w:t>
      </w:r>
    </w:p>
    <w:p w14:paraId="5151B3A1">
      <w:pPr>
        <w:spacing w:before="0" w:after="100"/>
        <w:jc w:val="both"/>
      </w:pPr>
      <w:r>
        <w:rPr>
          <w:rFonts w:ascii="Times New Roman" w:hAnsi="Times New Roman" w:eastAsia="宋体"/>
          <w:b w:val="0"/>
          <w:i w:val="0"/>
          <w:color w:val="000000"/>
          <w:sz w:val="21"/>
        </w:rPr>
        <w:t>应在必要的程度上获得成文信息，以确信过程已按策划实施。</w:t>
      </w:r>
    </w:p>
    <w:p w14:paraId="70875569">
      <w:pPr>
        <w:keepNext/>
        <w:spacing w:before="60" w:after="0"/>
        <w:jc w:val="both"/>
      </w:pPr>
      <w:r>
        <w:rPr>
          <w:rFonts w:ascii="Times New Roman" w:hAnsi="Times New Roman" w:eastAsia="宋体"/>
          <w:b w:val="0"/>
          <w:i w:val="0"/>
          <w:color w:val="000000"/>
          <w:sz w:val="21"/>
        </w:rPr>
        <w:t>The organization shall control planned changes and review the consequences of unintended changes, taking action to mitigate any adverse effects, as necessary.</w:t>
      </w:r>
    </w:p>
    <w:p w14:paraId="02D807A4">
      <w:pPr>
        <w:spacing w:before="0" w:after="100"/>
        <w:jc w:val="both"/>
      </w:pPr>
      <w:r>
        <w:rPr>
          <w:rFonts w:ascii="Times New Roman" w:hAnsi="Times New Roman" w:eastAsia="宋体"/>
          <w:b w:val="0"/>
          <w:i w:val="0"/>
          <w:color w:val="000000"/>
          <w:sz w:val="21"/>
        </w:rPr>
        <w:t>组织应控制策划性变更，并评审非预期变更的后果，必要时采取措施减轻任何不利影响。</w:t>
      </w:r>
    </w:p>
    <w:p w14:paraId="7CEFBDB3">
      <w:pPr>
        <w:keepNext/>
        <w:spacing w:before="60" w:after="0"/>
        <w:jc w:val="both"/>
      </w:pPr>
      <w:r>
        <w:rPr>
          <w:rFonts w:ascii="Times New Roman" w:hAnsi="Times New Roman" w:eastAsia="宋体"/>
          <w:b w:val="0"/>
          <w:i w:val="0"/>
          <w:color w:val="000000"/>
          <w:sz w:val="21"/>
        </w:rPr>
        <w:t>The organization shall ensure that externally provided processes, products or services that are relevant to the quality management system are controlled (see 8.4).</w:t>
      </w:r>
    </w:p>
    <w:p w14:paraId="42FEFEF8">
      <w:pPr>
        <w:spacing w:before="0" w:after="100"/>
        <w:jc w:val="both"/>
      </w:pPr>
      <w:r>
        <w:rPr>
          <w:rFonts w:ascii="Times New Roman" w:hAnsi="Times New Roman" w:eastAsia="宋体"/>
          <w:b w:val="0"/>
          <w:i w:val="0"/>
          <w:color w:val="000000"/>
          <w:sz w:val="21"/>
        </w:rPr>
        <w:t>组织应确保对与质量管理体系相关的外部提供的过程、产品或服务实施控制（见8.4）。</w:t>
      </w:r>
    </w:p>
    <w:p w14:paraId="1258698D">
      <w:pPr>
        <w:keepNext/>
        <w:spacing w:before="60" w:after="0"/>
        <w:jc w:val="both"/>
      </w:pPr>
      <w:r>
        <w:rPr>
          <w:rFonts w:ascii="Times New Roman" w:hAnsi="Times New Roman" w:eastAsia="宋体"/>
          <w:b w:val="0"/>
          <w:i w:val="0"/>
          <w:color w:val="000000"/>
          <w:sz w:val="21"/>
        </w:rPr>
        <w:t>Documented information shall be available to the extent necessary as evidence of the conformity of products and services.</w:t>
      </w:r>
    </w:p>
    <w:p w14:paraId="72BB1829">
      <w:pPr>
        <w:spacing w:before="0" w:after="100"/>
        <w:jc w:val="both"/>
      </w:pPr>
      <w:r>
        <w:rPr>
          <w:rFonts w:ascii="Times New Roman" w:hAnsi="Times New Roman" w:eastAsia="宋体"/>
          <w:b w:val="0"/>
          <w:i w:val="0"/>
          <w:color w:val="000000"/>
          <w:sz w:val="21"/>
        </w:rPr>
        <w:t>应在必要的程度上获得成文信息，作为产品和服务合格的证据。</w:t>
      </w:r>
    </w:p>
    <w:p w14:paraId="555A791E">
      <w:pPr>
        <w:keepNext/>
        <w:spacing w:before="240" w:after="0"/>
        <w:jc w:val="left"/>
      </w:pPr>
      <w:r>
        <w:rPr>
          <w:rFonts w:ascii="Times New Roman" w:hAnsi="Times New Roman" w:eastAsia="宋体"/>
          <w:b/>
          <w:i w:val="0"/>
          <w:color w:val="000000"/>
          <w:sz w:val="24"/>
        </w:rPr>
        <w:t>8.2  Requirements for products and services</w:t>
      </w:r>
    </w:p>
    <w:p w14:paraId="16026306">
      <w:pPr>
        <w:spacing w:before="0" w:after="80"/>
        <w:jc w:val="left"/>
      </w:pPr>
      <w:r>
        <w:rPr>
          <w:rFonts w:ascii="Times New Roman" w:hAnsi="Times New Roman" w:eastAsia="黑体"/>
          <w:b w:val="0"/>
          <w:i w:val="0"/>
          <w:color w:val="000000"/>
          <w:sz w:val="24"/>
        </w:rPr>
        <w:t>8.2  产品和服务的要求</w:t>
      </w:r>
    </w:p>
    <w:p w14:paraId="17F2E5EF">
      <w:pPr>
        <w:keepNext/>
        <w:spacing w:before="200" w:after="0"/>
        <w:jc w:val="left"/>
      </w:pPr>
      <w:r>
        <w:rPr>
          <w:rFonts w:ascii="Times New Roman" w:hAnsi="Times New Roman" w:eastAsia="宋体"/>
          <w:b/>
          <w:i w:val="0"/>
          <w:color w:val="000000"/>
          <w:sz w:val="22"/>
        </w:rPr>
        <w:t>8.2.1  Customer communication</w:t>
      </w:r>
    </w:p>
    <w:p w14:paraId="78892636">
      <w:pPr>
        <w:spacing w:before="0" w:after="80"/>
        <w:jc w:val="left"/>
      </w:pPr>
      <w:r>
        <w:rPr>
          <w:rFonts w:ascii="Times New Roman" w:hAnsi="Times New Roman" w:eastAsia="黑体"/>
          <w:b w:val="0"/>
          <w:i w:val="0"/>
          <w:color w:val="000000"/>
          <w:sz w:val="22"/>
        </w:rPr>
        <w:t>8.2.1  顾客沟通</w:t>
      </w:r>
    </w:p>
    <w:p w14:paraId="47B6EB31">
      <w:pPr>
        <w:keepNext/>
        <w:spacing w:before="60" w:after="0"/>
        <w:jc w:val="both"/>
      </w:pPr>
      <w:r>
        <w:rPr>
          <w:rFonts w:ascii="Times New Roman" w:hAnsi="Times New Roman" w:eastAsia="宋体"/>
          <w:b w:val="0"/>
          <w:i w:val="0"/>
          <w:color w:val="000000"/>
          <w:sz w:val="21"/>
        </w:rPr>
        <w:t>Communication with customers shall include:</w:t>
      </w:r>
    </w:p>
    <w:p w14:paraId="2948BCCC">
      <w:pPr>
        <w:spacing w:before="0" w:after="100"/>
        <w:jc w:val="both"/>
      </w:pPr>
      <w:r>
        <w:rPr>
          <w:rFonts w:ascii="Times New Roman" w:hAnsi="Times New Roman" w:eastAsia="宋体"/>
          <w:b w:val="0"/>
          <w:i w:val="0"/>
          <w:color w:val="000000"/>
          <w:sz w:val="21"/>
        </w:rPr>
        <w:t>与顾客沟通的内容应包括：</w:t>
      </w:r>
    </w:p>
    <w:p w14:paraId="4A470A64">
      <w:pPr>
        <w:keepNext/>
        <w:spacing w:before="20" w:after="0"/>
        <w:ind w:left="357" w:hanging="357"/>
        <w:jc w:val="both"/>
      </w:pPr>
      <w:r>
        <w:rPr>
          <w:rFonts w:ascii="Times New Roman" w:hAnsi="Times New Roman" w:eastAsia="宋体"/>
          <w:b w:val="0"/>
          <w:i w:val="0"/>
          <w:color w:val="000000"/>
          <w:sz w:val="21"/>
        </w:rPr>
        <w:t>a) providing information relating to products and services;</w:t>
      </w:r>
    </w:p>
    <w:p w14:paraId="091B75F9">
      <w:pPr>
        <w:spacing w:before="0" w:after="60"/>
        <w:ind w:left="357" w:hanging="357"/>
        <w:jc w:val="both"/>
      </w:pPr>
      <w:r>
        <w:rPr>
          <w:rFonts w:ascii="Times New Roman" w:hAnsi="Times New Roman" w:eastAsia="宋体"/>
          <w:b w:val="0"/>
          <w:i w:val="0"/>
          <w:color w:val="000000"/>
          <w:sz w:val="21"/>
        </w:rPr>
        <w:t>a) 提供与产品和服务有关的信息；</w:t>
      </w:r>
    </w:p>
    <w:p w14:paraId="1E2E6475">
      <w:pPr>
        <w:keepNext/>
        <w:spacing w:before="20" w:after="0"/>
        <w:ind w:left="357" w:hanging="357"/>
        <w:jc w:val="both"/>
      </w:pPr>
      <w:r>
        <w:rPr>
          <w:rFonts w:ascii="Times New Roman" w:hAnsi="Times New Roman" w:eastAsia="宋体"/>
          <w:b w:val="0"/>
          <w:i w:val="0"/>
          <w:color w:val="000000"/>
          <w:sz w:val="21"/>
        </w:rPr>
        <w:t>b) handling enquiries, contracts or orders, including changes;</w:t>
      </w:r>
    </w:p>
    <w:p w14:paraId="0FF7BF6F">
      <w:pPr>
        <w:spacing w:before="0" w:after="60"/>
        <w:ind w:left="357" w:hanging="357"/>
        <w:jc w:val="both"/>
      </w:pPr>
      <w:r>
        <w:rPr>
          <w:rFonts w:ascii="Times New Roman" w:hAnsi="Times New Roman" w:eastAsia="宋体"/>
          <w:b w:val="0"/>
          <w:i w:val="0"/>
          <w:color w:val="000000"/>
          <w:sz w:val="21"/>
        </w:rPr>
        <w:t>b) 处理问询、合同或订单，包括变更；</w:t>
      </w:r>
    </w:p>
    <w:p w14:paraId="4981A278">
      <w:pPr>
        <w:keepNext/>
        <w:spacing w:before="20" w:after="0"/>
        <w:ind w:left="357" w:hanging="357"/>
        <w:jc w:val="both"/>
      </w:pPr>
      <w:r>
        <w:rPr>
          <w:rFonts w:ascii="Times New Roman" w:hAnsi="Times New Roman" w:eastAsia="宋体"/>
          <w:b w:val="0"/>
          <w:i w:val="0"/>
          <w:color w:val="000000"/>
          <w:sz w:val="21"/>
        </w:rPr>
        <w:t>c) obtaining customer feedback relating to products and services, including customer complaints;</w:t>
      </w:r>
    </w:p>
    <w:p w14:paraId="1313E08F">
      <w:pPr>
        <w:spacing w:before="0" w:after="60"/>
        <w:ind w:left="357" w:hanging="357"/>
        <w:jc w:val="both"/>
      </w:pPr>
      <w:r>
        <w:rPr>
          <w:rFonts w:ascii="Times New Roman" w:hAnsi="Times New Roman" w:eastAsia="宋体"/>
          <w:b w:val="0"/>
          <w:i w:val="0"/>
          <w:color w:val="000000"/>
          <w:sz w:val="21"/>
        </w:rPr>
        <w:t>c) 获取与产品和服务有关的顾客反馈，包括顾客投诉；</w:t>
      </w:r>
    </w:p>
    <w:p w14:paraId="5C63A54A">
      <w:pPr>
        <w:keepNext/>
        <w:spacing w:before="20" w:after="0"/>
        <w:ind w:left="357" w:hanging="357"/>
        <w:jc w:val="both"/>
      </w:pPr>
      <w:r>
        <w:rPr>
          <w:rFonts w:ascii="Times New Roman" w:hAnsi="Times New Roman" w:eastAsia="宋体"/>
          <w:b w:val="0"/>
          <w:i w:val="0"/>
          <w:color w:val="000000"/>
          <w:sz w:val="21"/>
        </w:rPr>
        <w:t>d) handling or controlling customer property;</w:t>
      </w:r>
    </w:p>
    <w:p w14:paraId="1A840955">
      <w:pPr>
        <w:spacing w:before="0" w:after="60"/>
        <w:ind w:left="357" w:hanging="357"/>
        <w:jc w:val="both"/>
      </w:pPr>
      <w:r>
        <w:rPr>
          <w:rFonts w:ascii="Times New Roman" w:hAnsi="Times New Roman" w:eastAsia="宋体"/>
          <w:b w:val="0"/>
          <w:i w:val="0"/>
          <w:color w:val="000000"/>
          <w:sz w:val="21"/>
        </w:rPr>
        <w:t>d) 处置或控制顾客财产；</w:t>
      </w:r>
    </w:p>
    <w:p w14:paraId="7B47B03C">
      <w:pPr>
        <w:keepNext/>
        <w:spacing w:before="20" w:after="0"/>
        <w:ind w:left="357" w:hanging="357"/>
        <w:jc w:val="both"/>
      </w:pPr>
      <w:r>
        <w:rPr>
          <w:rFonts w:ascii="Times New Roman" w:hAnsi="Times New Roman" w:eastAsia="宋体"/>
          <w:b w:val="0"/>
          <w:i w:val="0"/>
          <w:color w:val="000000"/>
          <w:sz w:val="21"/>
        </w:rPr>
        <w:t>e) providing information related to contingency actions, when relevant, including any related to disruptions to the provision of products or services.</w:t>
      </w:r>
    </w:p>
    <w:p w14:paraId="093891FD">
      <w:pPr>
        <w:spacing w:before="0" w:after="60"/>
        <w:ind w:left="357" w:hanging="357"/>
        <w:jc w:val="both"/>
      </w:pPr>
      <w:r>
        <w:rPr>
          <w:rFonts w:ascii="Times New Roman" w:hAnsi="Times New Roman" w:eastAsia="宋体"/>
          <w:b w:val="0"/>
          <w:i w:val="0"/>
          <w:color w:val="000000"/>
          <w:sz w:val="21"/>
        </w:rPr>
        <w:t>e) 相关时，提供与应急措施有关的信息，包括与产品或服务提供中断有关的任何信息。</w:t>
      </w:r>
    </w:p>
    <w:p w14:paraId="5FB67941">
      <w:pPr>
        <w:keepNext/>
        <w:spacing w:before="20" w:after="0"/>
        <w:ind w:left="227"/>
        <w:jc w:val="both"/>
      </w:pPr>
      <w:r>
        <w:rPr>
          <w:rFonts w:ascii="Times New Roman" w:hAnsi="Times New Roman" w:eastAsia="宋体"/>
          <w:b w:val="0"/>
          <w:i/>
          <w:color w:val="000000"/>
          <w:sz w:val="20"/>
        </w:rPr>
        <w:t>NOTE — Customer communication can include direct contacts through meetings, emails and document exchange or indirectly through website content, publications, social media, responses to frequently asked questions and training.</w:t>
      </w:r>
    </w:p>
    <w:p w14:paraId="666792B1">
      <w:pPr>
        <w:spacing w:before="0" w:after="100"/>
        <w:ind w:left="227"/>
        <w:jc w:val="both"/>
      </w:pPr>
      <w:r>
        <w:rPr>
          <w:rFonts w:ascii="Times New Roman" w:hAnsi="Times New Roman" w:eastAsia="宋体"/>
          <w:b w:val="0"/>
          <w:i w:val="0"/>
          <w:color w:val="000000"/>
          <w:sz w:val="20"/>
        </w:rPr>
        <w:t>注：顾客沟通可包括通过会议、电子邮件和文件交换进行的直接接触，或通过网站内容、出版物、社交媒体、常见问题解答和培训进行的间接沟通。</w:t>
      </w:r>
    </w:p>
    <w:p w14:paraId="003C8AEF">
      <w:pPr>
        <w:keepNext/>
        <w:spacing w:before="200" w:after="0"/>
        <w:jc w:val="left"/>
      </w:pPr>
      <w:r>
        <w:rPr>
          <w:rFonts w:ascii="Times New Roman" w:hAnsi="Times New Roman" w:eastAsia="宋体"/>
          <w:b/>
          <w:i w:val="0"/>
          <w:color w:val="000000"/>
          <w:sz w:val="22"/>
        </w:rPr>
        <w:t>8.2.2  Determining requirements for products and services</w:t>
      </w:r>
    </w:p>
    <w:p w14:paraId="5F7B1F3B">
      <w:pPr>
        <w:spacing w:before="0" w:after="80"/>
        <w:jc w:val="left"/>
      </w:pPr>
      <w:r>
        <w:rPr>
          <w:rFonts w:ascii="Times New Roman" w:hAnsi="Times New Roman" w:eastAsia="黑体"/>
          <w:b w:val="0"/>
          <w:i w:val="0"/>
          <w:color w:val="000000"/>
          <w:sz w:val="22"/>
        </w:rPr>
        <w:t>8.2.2  产品和服务要求的确定</w:t>
      </w:r>
    </w:p>
    <w:p w14:paraId="41CA006F">
      <w:pPr>
        <w:keepNext/>
        <w:spacing w:before="60" w:after="0"/>
        <w:jc w:val="both"/>
      </w:pPr>
      <w:r>
        <w:rPr>
          <w:rFonts w:ascii="Times New Roman" w:hAnsi="Times New Roman" w:eastAsia="宋体"/>
          <w:b w:val="0"/>
          <w:i w:val="0"/>
          <w:color w:val="000000"/>
          <w:sz w:val="21"/>
        </w:rPr>
        <w:t>When determining the requirements for the products and services to be offered to customers, the organization shall ensure that:</w:t>
      </w:r>
    </w:p>
    <w:p w14:paraId="04B555E4">
      <w:pPr>
        <w:spacing w:before="0" w:after="100"/>
        <w:jc w:val="both"/>
      </w:pPr>
      <w:r>
        <w:rPr>
          <w:rFonts w:ascii="Times New Roman" w:hAnsi="Times New Roman" w:eastAsia="宋体"/>
          <w:b w:val="0"/>
          <w:i w:val="0"/>
          <w:color w:val="000000"/>
          <w:sz w:val="21"/>
        </w:rPr>
        <w:t>在确定向顾客提供的产品和服务的要求时，组织应确保：</w:t>
      </w:r>
    </w:p>
    <w:p w14:paraId="1926C832">
      <w:pPr>
        <w:keepNext/>
        <w:spacing w:before="20" w:after="0"/>
        <w:ind w:left="357" w:hanging="357"/>
        <w:jc w:val="both"/>
      </w:pPr>
      <w:r>
        <w:rPr>
          <w:rFonts w:ascii="Times New Roman" w:hAnsi="Times New Roman" w:eastAsia="宋体"/>
          <w:b w:val="0"/>
          <w:i w:val="0"/>
          <w:color w:val="000000"/>
          <w:sz w:val="21"/>
        </w:rPr>
        <w:t>a) the requirements for the products and services are defined, including:</w:t>
      </w:r>
    </w:p>
    <w:p w14:paraId="6C4D397C">
      <w:pPr>
        <w:spacing w:before="0" w:after="60"/>
        <w:ind w:left="357" w:hanging="357"/>
        <w:jc w:val="both"/>
      </w:pPr>
      <w:r>
        <w:rPr>
          <w:rFonts w:ascii="Times New Roman" w:hAnsi="Times New Roman" w:eastAsia="宋体"/>
          <w:b w:val="0"/>
          <w:i w:val="0"/>
          <w:color w:val="000000"/>
          <w:sz w:val="21"/>
        </w:rPr>
        <w:t>a) 产品和服务的要求已得到规定，包括：</w:t>
      </w:r>
    </w:p>
    <w:p w14:paraId="14826FA5">
      <w:pPr>
        <w:keepNext/>
        <w:spacing w:before="20" w:after="0"/>
        <w:ind w:left="720" w:hanging="363"/>
        <w:jc w:val="both"/>
      </w:pPr>
      <w:r>
        <w:rPr>
          <w:rFonts w:ascii="Times New Roman" w:hAnsi="Times New Roman" w:eastAsia="宋体"/>
          <w:b w:val="0"/>
          <w:i w:val="0"/>
          <w:color w:val="000000"/>
          <w:sz w:val="21"/>
        </w:rPr>
        <w:t>1) any applicable statutory and regulatory requirements;</w:t>
      </w:r>
    </w:p>
    <w:p w14:paraId="7EC50E35">
      <w:pPr>
        <w:spacing w:before="0" w:after="60"/>
        <w:ind w:left="720" w:hanging="363"/>
        <w:jc w:val="both"/>
      </w:pPr>
      <w:r>
        <w:rPr>
          <w:rFonts w:ascii="Times New Roman" w:hAnsi="Times New Roman" w:eastAsia="宋体"/>
          <w:b w:val="0"/>
          <w:i w:val="0"/>
          <w:color w:val="000000"/>
          <w:sz w:val="21"/>
        </w:rPr>
        <w:t>1) 适用的法律法规要求；</w:t>
      </w:r>
    </w:p>
    <w:p w14:paraId="594208ED">
      <w:pPr>
        <w:keepNext/>
        <w:spacing w:before="20" w:after="0"/>
        <w:ind w:left="720" w:hanging="363"/>
        <w:jc w:val="both"/>
      </w:pPr>
      <w:r>
        <w:rPr>
          <w:rFonts w:ascii="Times New Roman" w:hAnsi="Times New Roman" w:eastAsia="宋体"/>
          <w:b w:val="0"/>
          <w:i w:val="0"/>
          <w:color w:val="000000"/>
          <w:sz w:val="21"/>
        </w:rPr>
        <w:t>2) those considered necessary by the organization;</w:t>
      </w:r>
    </w:p>
    <w:p w14:paraId="5F378645">
      <w:pPr>
        <w:spacing w:before="0" w:after="60"/>
        <w:ind w:left="720" w:hanging="363"/>
        <w:jc w:val="both"/>
      </w:pPr>
      <w:r>
        <w:rPr>
          <w:rFonts w:ascii="Times New Roman" w:hAnsi="Times New Roman" w:eastAsia="宋体"/>
          <w:b w:val="0"/>
          <w:i w:val="0"/>
          <w:color w:val="000000"/>
          <w:sz w:val="21"/>
        </w:rPr>
        <w:t>2) 组织认为必要的要求；</w:t>
      </w:r>
    </w:p>
    <w:p w14:paraId="5262B717">
      <w:pPr>
        <w:keepNext/>
        <w:spacing w:before="20" w:after="0"/>
        <w:ind w:left="357" w:hanging="357"/>
        <w:jc w:val="both"/>
      </w:pPr>
      <w:r>
        <w:rPr>
          <w:rFonts w:ascii="Times New Roman" w:hAnsi="Times New Roman" w:eastAsia="宋体"/>
          <w:b w:val="0"/>
          <w:i w:val="0"/>
          <w:color w:val="000000"/>
          <w:sz w:val="21"/>
        </w:rPr>
        <w:t>b) it can meet the claims for the products and services it offers.</w:t>
      </w:r>
    </w:p>
    <w:p w14:paraId="0A36D26A">
      <w:pPr>
        <w:spacing w:before="0" w:after="60"/>
        <w:ind w:left="357" w:hanging="357"/>
        <w:jc w:val="both"/>
      </w:pPr>
      <w:r>
        <w:rPr>
          <w:rFonts w:ascii="Times New Roman" w:hAnsi="Times New Roman" w:eastAsia="宋体"/>
          <w:b w:val="0"/>
          <w:i w:val="0"/>
          <w:color w:val="000000"/>
          <w:sz w:val="21"/>
        </w:rPr>
        <w:t>b) 组织有能力满足其所提供的产品和服务所声称的要求。</w:t>
      </w:r>
    </w:p>
    <w:p w14:paraId="53DDCAAA">
      <w:pPr>
        <w:keepNext/>
        <w:spacing w:before="200" w:after="0"/>
        <w:jc w:val="left"/>
      </w:pPr>
      <w:r>
        <w:rPr>
          <w:rFonts w:ascii="Times New Roman" w:hAnsi="Times New Roman" w:eastAsia="宋体"/>
          <w:b/>
          <w:i w:val="0"/>
          <w:color w:val="000000"/>
          <w:sz w:val="22"/>
        </w:rPr>
        <w:t>8.2.3  Review of requirements for products and services</w:t>
      </w:r>
    </w:p>
    <w:p w14:paraId="2020F8C5">
      <w:pPr>
        <w:spacing w:before="0" w:after="80"/>
        <w:jc w:val="left"/>
      </w:pPr>
      <w:r>
        <w:rPr>
          <w:rFonts w:ascii="Times New Roman" w:hAnsi="Times New Roman" w:eastAsia="黑体"/>
          <w:b w:val="0"/>
          <w:i w:val="0"/>
          <w:color w:val="000000"/>
          <w:sz w:val="22"/>
        </w:rPr>
        <w:t>8.2.3  产品和服务要求的评审</w:t>
      </w:r>
    </w:p>
    <w:p w14:paraId="0275790A">
      <w:pPr>
        <w:keepNext/>
        <w:spacing w:before="60" w:after="0"/>
        <w:jc w:val="both"/>
      </w:pPr>
      <w:r>
        <w:rPr>
          <w:rFonts w:ascii="Times New Roman" w:hAnsi="Times New Roman" w:eastAsia="宋体"/>
          <w:b w:val="0"/>
          <w:i w:val="0"/>
          <w:color w:val="000000"/>
          <w:sz w:val="21"/>
        </w:rPr>
        <w:t>8.2.3.1　The organization shall ensure that it has the ability to meet the requirements for the products and services to be offered to customers. Before committing to supply products and services to a customer, the organization shall conduct a review that includes:</w:t>
      </w:r>
    </w:p>
    <w:p w14:paraId="5C4DC0A5">
      <w:pPr>
        <w:spacing w:before="0" w:after="100"/>
        <w:jc w:val="both"/>
      </w:pPr>
      <w:r>
        <w:rPr>
          <w:rFonts w:ascii="Times New Roman" w:hAnsi="Times New Roman" w:eastAsia="宋体"/>
          <w:b w:val="0"/>
          <w:i w:val="0"/>
          <w:color w:val="000000"/>
          <w:sz w:val="21"/>
        </w:rPr>
        <w:t>8.2.3.1　组织应确保有能力满足拟向顾客提供的产品和服务的要求。在承诺向顾客提供产品和服务之前，组织应进行包括以下内容的评审：</w:t>
      </w:r>
    </w:p>
    <w:p w14:paraId="694997CE">
      <w:pPr>
        <w:keepNext/>
        <w:spacing w:before="20" w:after="0"/>
        <w:ind w:left="357" w:hanging="357"/>
        <w:jc w:val="both"/>
      </w:pPr>
      <w:r>
        <w:rPr>
          <w:rFonts w:ascii="Times New Roman" w:hAnsi="Times New Roman" w:eastAsia="宋体"/>
          <w:b w:val="0"/>
          <w:i w:val="0"/>
          <w:color w:val="000000"/>
          <w:sz w:val="21"/>
        </w:rPr>
        <w:t>a) requirements defined by the customer, including requirements for delivery and post-delivery activities when applicable;</w:t>
      </w:r>
    </w:p>
    <w:p w14:paraId="56945EC4">
      <w:pPr>
        <w:spacing w:before="0" w:after="60"/>
        <w:ind w:left="357" w:hanging="357"/>
        <w:jc w:val="both"/>
      </w:pPr>
      <w:r>
        <w:rPr>
          <w:rFonts w:ascii="Times New Roman" w:hAnsi="Times New Roman" w:eastAsia="宋体"/>
          <w:b w:val="0"/>
          <w:i w:val="0"/>
          <w:color w:val="000000"/>
          <w:sz w:val="21"/>
        </w:rPr>
        <w:t>a) 顾客规定的要求，包括适用时对交付和交付后活动的要求；</w:t>
      </w:r>
    </w:p>
    <w:p w14:paraId="2D102192">
      <w:pPr>
        <w:keepNext/>
        <w:spacing w:before="20" w:after="0"/>
        <w:ind w:left="357" w:hanging="357"/>
        <w:jc w:val="both"/>
      </w:pPr>
      <w:r>
        <w:rPr>
          <w:rFonts w:ascii="Times New Roman" w:hAnsi="Times New Roman" w:eastAsia="宋体"/>
          <w:b w:val="0"/>
          <w:i w:val="0"/>
          <w:color w:val="000000"/>
          <w:sz w:val="21"/>
        </w:rPr>
        <w:t>b) requirements not defined by the customer, but necessary for the specified or intended use, when known;</w:t>
      </w:r>
    </w:p>
    <w:p w14:paraId="0B381A1F">
      <w:pPr>
        <w:spacing w:before="0" w:after="60"/>
        <w:ind w:left="357" w:hanging="357"/>
        <w:jc w:val="both"/>
      </w:pPr>
      <w:r>
        <w:rPr>
          <w:rFonts w:ascii="Times New Roman" w:hAnsi="Times New Roman" w:eastAsia="宋体"/>
          <w:b w:val="0"/>
          <w:i w:val="0"/>
          <w:color w:val="000000"/>
          <w:sz w:val="21"/>
        </w:rPr>
        <w:t>b) 顾客虽未规定、但对规定的或预期用途而言属于必要的要求（已知时）；</w:t>
      </w:r>
    </w:p>
    <w:p w14:paraId="33CE2CBF">
      <w:pPr>
        <w:keepNext/>
        <w:spacing w:before="20" w:after="0"/>
        <w:ind w:left="357" w:hanging="357"/>
        <w:jc w:val="both"/>
      </w:pPr>
      <w:r>
        <w:rPr>
          <w:rFonts w:ascii="Times New Roman" w:hAnsi="Times New Roman" w:eastAsia="宋体"/>
          <w:b w:val="0"/>
          <w:i w:val="0"/>
          <w:color w:val="000000"/>
          <w:sz w:val="21"/>
        </w:rPr>
        <w:t>c) requirements specified by the organization;</w:t>
      </w:r>
    </w:p>
    <w:p w14:paraId="5C1C22FF">
      <w:pPr>
        <w:spacing w:before="0" w:after="60"/>
        <w:ind w:left="357" w:hanging="357"/>
        <w:jc w:val="both"/>
      </w:pPr>
      <w:r>
        <w:rPr>
          <w:rFonts w:ascii="Times New Roman" w:hAnsi="Times New Roman" w:eastAsia="宋体"/>
          <w:b w:val="0"/>
          <w:i w:val="0"/>
          <w:color w:val="000000"/>
          <w:sz w:val="21"/>
        </w:rPr>
        <w:t>c) 组织规定的要求；</w:t>
      </w:r>
    </w:p>
    <w:p w14:paraId="70491072">
      <w:pPr>
        <w:keepNext/>
        <w:spacing w:before="20" w:after="0"/>
        <w:ind w:left="357" w:hanging="357"/>
        <w:jc w:val="both"/>
      </w:pPr>
      <w:r>
        <w:rPr>
          <w:rFonts w:ascii="Times New Roman" w:hAnsi="Times New Roman" w:eastAsia="宋体"/>
          <w:b w:val="0"/>
          <w:i w:val="0"/>
          <w:color w:val="000000"/>
          <w:sz w:val="21"/>
        </w:rPr>
        <w:t>d) statutory and regulatory requirements applicable to the products and services;</w:t>
      </w:r>
    </w:p>
    <w:p w14:paraId="1B5B664A">
      <w:pPr>
        <w:spacing w:before="0" w:after="60"/>
        <w:ind w:left="357" w:hanging="357"/>
        <w:jc w:val="both"/>
      </w:pPr>
      <w:r>
        <w:rPr>
          <w:rFonts w:ascii="Times New Roman" w:hAnsi="Times New Roman" w:eastAsia="宋体"/>
          <w:b w:val="0"/>
          <w:i w:val="0"/>
          <w:color w:val="000000"/>
          <w:sz w:val="21"/>
        </w:rPr>
        <w:t>d) 适用于产品和服务的法律法规要求；</w:t>
      </w:r>
    </w:p>
    <w:p w14:paraId="23778018">
      <w:pPr>
        <w:keepNext/>
        <w:spacing w:before="20" w:after="0"/>
        <w:ind w:left="357" w:hanging="357"/>
        <w:jc w:val="both"/>
      </w:pPr>
      <w:r>
        <w:rPr>
          <w:rFonts w:ascii="Times New Roman" w:hAnsi="Times New Roman" w:eastAsia="宋体"/>
          <w:b w:val="0"/>
          <w:i w:val="0"/>
          <w:color w:val="000000"/>
          <w:sz w:val="21"/>
        </w:rPr>
        <w:t>e) contract or order requirements differing from those previously expressed.</w:t>
      </w:r>
    </w:p>
    <w:p w14:paraId="00FF60C7">
      <w:pPr>
        <w:spacing w:before="0" w:after="60"/>
        <w:ind w:left="357" w:hanging="357"/>
        <w:jc w:val="both"/>
      </w:pPr>
      <w:r>
        <w:rPr>
          <w:rFonts w:ascii="Times New Roman" w:hAnsi="Times New Roman" w:eastAsia="宋体"/>
          <w:b w:val="0"/>
          <w:i w:val="0"/>
          <w:color w:val="000000"/>
          <w:sz w:val="21"/>
        </w:rPr>
        <w:t>e) 与先前所表述的不同的合同或订单要求。</w:t>
      </w:r>
    </w:p>
    <w:p w14:paraId="6A41B383">
      <w:pPr>
        <w:keepNext/>
        <w:spacing w:before="60" w:after="0"/>
        <w:jc w:val="both"/>
      </w:pPr>
      <w:r>
        <w:rPr>
          <w:rFonts w:ascii="Times New Roman" w:hAnsi="Times New Roman" w:eastAsia="宋体"/>
          <w:b w:val="0"/>
          <w:i w:val="0"/>
          <w:color w:val="000000"/>
          <w:sz w:val="21"/>
        </w:rPr>
        <w:t>The organization shall ensure that contract or order requirements differing from those previously defined are resolved.</w:t>
      </w:r>
    </w:p>
    <w:p w14:paraId="09B7D53A">
      <w:pPr>
        <w:spacing w:before="0" w:after="100"/>
        <w:jc w:val="both"/>
      </w:pPr>
      <w:r>
        <w:rPr>
          <w:rFonts w:ascii="Times New Roman" w:hAnsi="Times New Roman" w:eastAsia="宋体"/>
          <w:b w:val="0"/>
          <w:i w:val="0"/>
          <w:color w:val="000000"/>
          <w:sz w:val="21"/>
        </w:rPr>
        <w:t>组织应确保与先前规定不一致的合同或订单要求已得到解决。</w:t>
      </w:r>
    </w:p>
    <w:p w14:paraId="01B43A38">
      <w:pPr>
        <w:keepNext/>
        <w:spacing w:before="60" w:after="0"/>
        <w:jc w:val="both"/>
      </w:pPr>
      <w:r>
        <w:rPr>
          <w:rFonts w:ascii="Times New Roman" w:hAnsi="Times New Roman" w:eastAsia="宋体"/>
          <w:b w:val="0"/>
          <w:i w:val="0"/>
          <w:color w:val="000000"/>
          <w:sz w:val="21"/>
        </w:rPr>
        <w:t>When the customer does not provide a documented statement of their requirements, the organization shall confirm the customer requirements before acceptance.</w:t>
      </w:r>
    </w:p>
    <w:p w14:paraId="6A7906ED">
      <w:pPr>
        <w:spacing w:before="0" w:after="100"/>
        <w:jc w:val="both"/>
      </w:pPr>
      <w:r>
        <w:rPr>
          <w:rFonts w:ascii="Times New Roman" w:hAnsi="Times New Roman" w:eastAsia="宋体"/>
          <w:b w:val="0"/>
          <w:i w:val="0"/>
          <w:color w:val="000000"/>
          <w:sz w:val="21"/>
        </w:rPr>
        <w:t>当顾客未提供其要求的成文说明时，组织在接受前应确认顾客要求。</w:t>
      </w:r>
    </w:p>
    <w:p w14:paraId="60465EC8">
      <w:pPr>
        <w:keepNext/>
        <w:spacing w:before="20" w:after="0"/>
        <w:ind w:left="227"/>
        <w:jc w:val="both"/>
      </w:pPr>
      <w:r>
        <w:rPr>
          <w:rFonts w:ascii="Times New Roman" w:hAnsi="Times New Roman" w:eastAsia="宋体"/>
          <w:b w:val="0"/>
          <w:i/>
          <w:color w:val="000000"/>
          <w:sz w:val="20"/>
        </w:rPr>
        <w:t>NOTE — In some situations, such as internet sales, a formal review is impractical for each order. Instead, the review can cover relevant product or service information, such as websites or catalogues.</w:t>
      </w:r>
    </w:p>
    <w:p w14:paraId="06AB06DA">
      <w:pPr>
        <w:spacing w:before="0" w:after="100"/>
        <w:ind w:left="227"/>
        <w:jc w:val="both"/>
      </w:pPr>
      <w:r>
        <w:rPr>
          <w:rFonts w:ascii="Times New Roman" w:hAnsi="Times New Roman" w:eastAsia="宋体"/>
          <w:b w:val="0"/>
          <w:i w:val="0"/>
          <w:color w:val="000000"/>
          <w:sz w:val="20"/>
        </w:rPr>
        <w:t>注：在某些情况下，如网络销售，针对每一订单进行正式评审可能不切实际。此时，评审可覆盖相关的产品或服务信息，如网站或产品目录。</w:t>
      </w:r>
    </w:p>
    <w:p w14:paraId="3DDFE880">
      <w:pPr>
        <w:keepNext/>
        <w:spacing w:before="60" w:after="0"/>
        <w:jc w:val="both"/>
      </w:pPr>
      <w:r>
        <w:rPr>
          <w:rFonts w:ascii="Times New Roman" w:hAnsi="Times New Roman" w:eastAsia="宋体"/>
          <w:b w:val="0"/>
          <w:i w:val="0"/>
          <w:color w:val="000000"/>
          <w:sz w:val="21"/>
        </w:rPr>
        <w:t>8.2.3.2　Documented information shall be available, as applicable, as evidence of:</w:t>
      </w:r>
    </w:p>
    <w:p w14:paraId="3F9F6CF2">
      <w:pPr>
        <w:spacing w:before="0" w:after="100"/>
        <w:jc w:val="both"/>
      </w:pPr>
      <w:r>
        <w:rPr>
          <w:rFonts w:ascii="Times New Roman" w:hAnsi="Times New Roman" w:eastAsia="宋体"/>
          <w:b w:val="0"/>
          <w:i w:val="0"/>
          <w:color w:val="000000"/>
          <w:sz w:val="21"/>
        </w:rPr>
        <w:t>8.2.3.2　适用时，应可获得成文信息，作为以下方面的证据：</w:t>
      </w:r>
    </w:p>
    <w:p w14:paraId="772A741C">
      <w:pPr>
        <w:keepNext/>
        <w:spacing w:before="20" w:after="0"/>
        <w:ind w:left="357" w:hanging="357"/>
        <w:jc w:val="both"/>
      </w:pPr>
      <w:r>
        <w:rPr>
          <w:rFonts w:ascii="Times New Roman" w:hAnsi="Times New Roman" w:eastAsia="宋体"/>
          <w:b w:val="0"/>
          <w:i w:val="0"/>
          <w:color w:val="000000"/>
          <w:sz w:val="21"/>
        </w:rPr>
        <w:t>a) the results of the review;</w:t>
      </w:r>
    </w:p>
    <w:p w14:paraId="15E4572D">
      <w:pPr>
        <w:spacing w:before="0" w:after="60"/>
        <w:ind w:left="357" w:hanging="357"/>
        <w:jc w:val="both"/>
      </w:pPr>
      <w:r>
        <w:rPr>
          <w:rFonts w:ascii="Times New Roman" w:hAnsi="Times New Roman" w:eastAsia="宋体"/>
          <w:b w:val="0"/>
          <w:i w:val="0"/>
          <w:color w:val="000000"/>
          <w:sz w:val="21"/>
        </w:rPr>
        <w:t>a) 评审的结果；</w:t>
      </w:r>
    </w:p>
    <w:p w14:paraId="728BE934">
      <w:pPr>
        <w:keepNext/>
        <w:spacing w:before="20" w:after="0"/>
        <w:ind w:left="357" w:hanging="357"/>
        <w:jc w:val="both"/>
      </w:pPr>
      <w:r>
        <w:rPr>
          <w:rFonts w:ascii="Times New Roman" w:hAnsi="Times New Roman" w:eastAsia="宋体"/>
          <w:b w:val="0"/>
          <w:i w:val="0"/>
          <w:color w:val="000000"/>
          <w:sz w:val="21"/>
        </w:rPr>
        <w:t>b) any new or changed requirements for the products and services.</w:t>
      </w:r>
    </w:p>
    <w:p w14:paraId="43570483">
      <w:pPr>
        <w:spacing w:before="0" w:after="60"/>
        <w:ind w:left="357" w:hanging="357"/>
        <w:jc w:val="both"/>
      </w:pPr>
      <w:r>
        <w:rPr>
          <w:rFonts w:ascii="Times New Roman" w:hAnsi="Times New Roman" w:eastAsia="宋体"/>
          <w:b w:val="0"/>
          <w:i w:val="0"/>
          <w:color w:val="000000"/>
          <w:sz w:val="21"/>
        </w:rPr>
        <w:t>b) 针对产品和服务的新要求或变更的要求。</w:t>
      </w:r>
    </w:p>
    <w:p w14:paraId="18439110">
      <w:pPr>
        <w:keepNext/>
        <w:spacing w:before="200" w:after="0"/>
        <w:jc w:val="left"/>
      </w:pPr>
      <w:r>
        <w:rPr>
          <w:rFonts w:ascii="Times New Roman" w:hAnsi="Times New Roman" w:eastAsia="宋体"/>
          <w:b/>
          <w:i w:val="0"/>
          <w:color w:val="000000"/>
          <w:sz w:val="22"/>
        </w:rPr>
        <w:t>8.2.4  Changes to requirements for products and services</w:t>
      </w:r>
    </w:p>
    <w:p w14:paraId="1186325A">
      <w:pPr>
        <w:spacing w:before="0" w:after="80"/>
        <w:jc w:val="left"/>
      </w:pPr>
      <w:r>
        <w:rPr>
          <w:rFonts w:ascii="Times New Roman" w:hAnsi="Times New Roman" w:eastAsia="黑体"/>
          <w:b w:val="0"/>
          <w:i w:val="0"/>
          <w:color w:val="000000"/>
          <w:sz w:val="22"/>
        </w:rPr>
        <w:t>8.2.4  产品和服务要求的变更</w:t>
      </w:r>
    </w:p>
    <w:p w14:paraId="759D7C2F">
      <w:pPr>
        <w:keepNext/>
        <w:spacing w:before="60" w:after="0"/>
        <w:jc w:val="both"/>
      </w:pPr>
      <w:r>
        <w:rPr>
          <w:rFonts w:ascii="Times New Roman" w:hAnsi="Times New Roman" w:eastAsia="宋体"/>
          <w:b w:val="0"/>
          <w:i w:val="0"/>
          <w:color w:val="000000"/>
          <w:sz w:val="21"/>
        </w:rPr>
        <w:t>When requirements for products and services are changed, the organization shall ensure that the relevant documented information is updated and communicated to the relevant interested parties.</w:t>
      </w:r>
    </w:p>
    <w:p w14:paraId="116BCACB">
      <w:pPr>
        <w:spacing w:before="0" w:after="100"/>
        <w:jc w:val="both"/>
      </w:pPr>
      <w:r>
        <w:rPr>
          <w:rFonts w:ascii="Times New Roman" w:hAnsi="Times New Roman" w:eastAsia="宋体"/>
          <w:b w:val="0"/>
          <w:i w:val="0"/>
          <w:color w:val="000000"/>
          <w:sz w:val="21"/>
        </w:rPr>
        <w:t>当产品和服务的要求发生变更时，组织应确保相关成文信息得到更新，并与相关方进行沟通。</w:t>
      </w:r>
    </w:p>
    <w:p w14:paraId="2ABEF493">
      <w:pPr>
        <w:keepNext/>
        <w:spacing w:before="240" w:after="0"/>
        <w:jc w:val="left"/>
      </w:pPr>
      <w:r>
        <w:rPr>
          <w:rFonts w:ascii="Times New Roman" w:hAnsi="Times New Roman" w:eastAsia="宋体"/>
          <w:b/>
          <w:i w:val="0"/>
          <w:color w:val="000000"/>
          <w:sz w:val="24"/>
        </w:rPr>
        <w:t>8.3  Design and development of products and services</w:t>
      </w:r>
    </w:p>
    <w:p w14:paraId="74214A18">
      <w:pPr>
        <w:spacing w:before="0" w:after="80"/>
        <w:jc w:val="left"/>
      </w:pPr>
      <w:r>
        <w:rPr>
          <w:rFonts w:ascii="Times New Roman" w:hAnsi="Times New Roman" w:eastAsia="黑体"/>
          <w:b w:val="0"/>
          <w:i w:val="0"/>
          <w:color w:val="000000"/>
          <w:sz w:val="24"/>
        </w:rPr>
        <w:t>8.3  产品和服务的设计和开发</w:t>
      </w:r>
    </w:p>
    <w:p w14:paraId="676EDB80">
      <w:pPr>
        <w:keepNext/>
        <w:spacing w:before="200" w:after="0"/>
        <w:jc w:val="left"/>
      </w:pPr>
      <w:r>
        <w:rPr>
          <w:rFonts w:ascii="Times New Roman" w:hAnsi="Times New Roman" w:eastAsia="宋体"/>
          <w:b/>
          <w:i w:val="0"/>
          <w:color w:val="000000"/>
          <w:sz w:val="22"/>
        </w:rPr>
        <w:t>8.3.1  General</w:t>
      </w:r>
    </w:p>
    <w:p w14:paraId="6725A607">
      <w:pPr>
        <w:spacing w:before="0" w:after="80"/>
        <w:jc w:val="left"/>
      </w:pPr>
      <w:r>
        <w:rPr>
          <w:rFonts w:ascii="Times New Roman" w:hAnsi="Times New Roman" w:eastAsia="黑体"/>
          <w:b w:val="0"/>
          <w:i w:val="0"/>
          <w:color w:val="000000"/>
          <w:sz w:val="22"/>
        </w:rPr>
        <w:t>8.3.1  总则</w:t>
      </w:r>
    </w:p>
    <w:p w14:paraId="21E8FBAF">
      <w:pPr>
        <w:keepNext/>
        <w:spacing w:before="60" w:after="0"/>
        <w:jc w:val="both"/>
      </w:pPr>
      <w:r>
        <w:rPr>
          <w:rFonts w:ascii="Times New Roman" w:hAnsi="Times New Roman" w:eastAsia="宋体"/>
          <w:b w:val="0"/>
          <w:i w:val="0"/>
          <w:color w:val="000000"/>
          <w:sz w:val="21"/>
        </w:rPr>
        <w:t>The organization shall establish, implement and maintain a design and development process that is appropriate to ensure the subsequent provision of products and services.</w:t>
      </w:r>
    </w:p>
    <w:p w14:paraId="6E3FBA24">
      <w:pPr>
        <w:spacing w:before="0" w:after="100"/>
        <w:jc w:val="both"/>
      </w:pPr>
      <w:r>
        <w:rPr>
          <w:rFonts w:ascii="Times New Roman" w:hAnsi="Times New Roman" w:eastAsia="宋体"/>
          <w:b w:val="0"/>
          <w:i w:val="0"/>
          <w:color w:val="000000"/>
          <w:sz w:val="21"/>
        </w:rPr>
        <w:t>组织应建立、实施并保持适当的设计和开发过程，以确保后续提供产品和服务。</w:t>
      </w:r>
    </w:p>
    <w:p w14:paraId="74BFB6BC">
      <w:pPr>
        <w:keepNext/>
        <w:spacing w:before="20" w:after="0"/>
        <w:ind w:left="227"/>
        <w:jc w:val="both"/>
      </w:pPr>
      <w:r>
        <w:rPr>
          <w:rFonts w:ascii="Times New Roman" w:hAnsi="Times New Roman" w:eastAsia="宋体"/>
          <w:b w:val="0"/>
          <w:i/>
          <w:color w:val="000000"/>
          <w:sz w:val="20"/>
        </w:rPr>
        <w:t>NOTE — The design and development process can include cycles of review, verification, validation and feedback, allowing for an iterative approach throughout the design and development stages.</w:t>
      </w:r>
    </w:p>
    <w:p w14:paraId="2991AD2E">
      <w:pPr>
        <w:spacing w:before="0" w:after="100"/>
        <w:ind w:left="227"/>
        <w:jc w:val="both"/>
      </w:pPr>
      <w:r>
        <w:rPr>
          <w:rFonts w:ascii="Times New Roman" w:hAnsi="Times New Roman" w:eastAsia="宋体"/>
          <w:b w:val="0"/>
          <w:i w:val="0"/>
          <w:color w:val="000000"/>
          <w:sz w:val="20"/>
        </w:rPr>
        <w:t>注：设计和开发过程可包括评审、验证、确认和反馈的循环，从而允许在设计和开发的各个阶段采取迭代方式。</w:t>
      </w:r>
    </w:p>
    <w:p w14:paraId="0E5F6C52">
      <w:pPr>
        <w:keepNext/>
        <w:spacing w:before="200" w:after="0"/>
        <w:jc w:val="left"/>
      </w:pPr>
      <w:r>
        <w:rPr>
          <w:rFonts w:ascii="Times New Roman" w:hAnsi="Times New Roman" w:eastAsia="宋体"/>
          <w:b/>
          <w:i w:val="0"/>
          <w:color w:val="000000"/>
          <w:sz w:val="22"/>
        </w:rPr>
        <w:t>8.3.2  Design and development planning</w:t>
      </w:r>
    </w:p>
    <w:p w14:paraId="3D3FAA52">
      <w:pPr>
        <w:spacing w:before="0" w:after="80"/>
        <w:jc w:val="left"/>
      </w:pPr>
      <w:r>
        <w:rPr>
          <w:rFonts w:ascii="Times New Roman" w:hAnsi="Times New Roman" w:eastAsia="黑体"/>
          <w:b w:val="0"/>
          <w:i w:val="0"/>
          <w:color w:val="000000"/>
          <w:sz w:val="22"/>
        </w:rPr>
        <w:t>8.3.2  设计和开发策划</w:t>
      </w:r>
    </w:p>
    <w:p w14:paraId="017863A9">
      <w:pPr>
        <w:keepNext/>
        <w:spacing w:before="60" w:after="0"/>
        <w:jc w:val="both"/>
      </w:pPr>
      <w:r>
        <w:rPr>
          <w:rFonts w:ascii="Times New Roman" w:hAnsi="Times New Roman" w:eastAsia="宋体"/>
          <w:b w:val="0"/>
          <w:i w:val="0"/>
          <w:color w:val="000000"/>
          <w:sz w:val="21"/>
        </w:rPr>
        <w:t>In determining the stages and controls for design and development, the organization shall consider:</w:t>
      </w:r>
    </w:p>
    <w:p w14:paraId="74F7E41E">
      <w:pPr>
        <w:spacing w:before="0" w:after="100"/>
        <w:jc w:val="both"/>
      </w:pPr>
      <w:r>
        <w:rPr>
          <w:rFonts w:ascii="Times New Roman" w:hAnsi="Times New Roman" w:eastAsia="宋体"/>
          <w:b w:val="0"/>
          <w:i w:val="0"/>
          <w:color w:val="000000"/>
          <w:sz w:val="21"/>
        </w:rPr>
        <w:t>在确定设计和开发的阶段及其控制时，组织应考虑：</w:t>
      </w:r>
    </w:p>
    <w:p w14:paraId="72903703">
      <w:pPr>
        <w:keepNext/>
        <w:spacing w:before="20" w:after="0"/>
        <w:ind w:left="357" w:hanging="357"/>
        <w:jc w:val="both"/>
      </w:pPr>
      <w:r>
        <w:rPr>
          <w:rFonts w:ascii="Times New Roman" w:hAnsi="Times New Roman" w:eastAsia="宋体"/>
          <w:b w:val="0"/>
          <w:i w:val="0"/>
          <w:color w:val="000000"/>
          <w:sz w:val="21"/>
        </w:rPr>
        <w:t>a) the nature, duration and complexity of the design and development activities;</w:t>
      </w:r>
    </w:p>
    <w:p w14:paraId="369D2B03">
      <w:pPr>
        <w:spacing w:before="0" w:after="60"/>
        <w:ind w:left="357" w:hanging="357"/>
        <w:jc w:val="both"/>
      </w:pPr>
      <w:r>
        <w:rPr>
          <w:rFonts w:ascii="Times New Roman" w:hAnsi="Times New Roman" w:eastAsia="宋体"/>
          <w:b w:val="0"/>
          <w:i w:val="0"/>
          <w:color w:val="000000"/>
          <w:sz w:val="21"/>
        </w:rPr>
        <w:t>a) 设计和开发活动的性质、持续时间和复杂程度；</w:t>
      </w:r>
    </w:p>
    <w:p w14:paraId="6AE3C0A7">
      <w:pPr>
        <w:keepNext/>
        <w:spacing w:before="20" w:after="0"/>
        <w:ind w:left="357" w:hanging="357"/>
        <w:jc w:val="both"/>
      </w:pPr>
      <w:r>
        <w:rPr>
          <w:rFonts w:ascii="Times New Roman" w:hAnsi="Times New Roman" w:eastAsia="宋体"/>
          <w:b w:val="0"/>
          <w:i w:val="0"/>
          <w:color w:val="000000"/>
          <w:sz w:val="21"/>
        </w:rPr>
        <w:t>b) the required process stages, including applicable design and development reviews;</w:t>
      </w:r>
    </w:p>
    <w:p w14:paraId="578D3BDE">
      <w:pPr>
        <w:spacing w:before="0" w:after="60"/>
        <w:ind w:left="357" w:hanging="357"/>
        <w:jc w:val="both"/>
      </w:pPr>
      <w:r>
        <w:rPr>
          <w:rFonts w:ascii="Times New Roman" w:hAnsi="Times New Roman" w:eastAsia="宋体"/>
          <w:b w:val="0"/>
          <w:i w:val="0"/>
          <w:color w:val="000000"/>
          <w:sz w:val="21"/>
        </w:rPr>
        <w:t>b) 所需的过程阶段，包括适用的设计和开发评审；</w:t>
      </w:r>
    </w:p>
    <w:p w14:paraId="1EA9E2C3">
      <w:pPr>
        <w:keepNext/>
        <w:spacing w:before="20" w:after="0"/>
        <w:ind w:left="357" w:hanging="357"/>
        <w:jc w:val="both"/>
      </w:pPr>
      <w:r>
        <w:rPr>
          <w:rFonts w:ascii="Times New Roman" w:hAnsi="Times New Roman" w:eastAsia="宋体"/>
          <w:b w:val="0"/>
          <w:i w:val="0"/>
          <w:color w:val="000000"/>
          <w:sz w:val="21"/>
        </w:rPr>
        <w:t>c) the required design and development verification and validation activities;</w:t>
      </w:r>
    </w:p>
    <w:p w14:paraId="1CD2C01B">
      <w:pPr>
        <w:spacing w:before="0" w:after="60"/>
        <w:ind w:left="357" w:hanging="357"/>
        <w:jc w:val="both"/>
      </w:pPr>
      <w:r>
        <w:rPr>
          <w:rFonts w:ascii="Times New Roman" w:hAnsi="Times New Roman" w:eastAsia="宋体"/>
          <w:b w:val="0"/>
          <w:i w:val="0"/>
          <w:color w:val="000000"/>
          <w:sz w:val="21"/>
        </w:rPr>
        <w:t>c) 所需的设计和开发验证和确认活动；</w:t>
      </w:r>
    </w:p>
    <w:p w14:paraId="46B6B7D3">
      <w:pPr>
        <w:keepNext/>
        <w:spacing w:before="20" w:after="0"/>
        <w:ind w:left="357" w:hanging="357"/>
        <w:jc w:val="both"/>
      </w:pPr>
      <w:r>
        <w:rPr>
          <w:rFonts w:ascii="Times New Roman" w:hAnsi="Times New Roman" w:eastAsia="宋体"/>
          <w:b w:val="0"/>
          <w:i w:val="0"/>
          <w:color w:val="000000"/>
          <w:sz w:val="21"/>
        </w:rPr>
        <w:t>d) the responsibilities and authorities involved in the design and development process;</w:t>
      </w:r>
    </w:p>
    <w:p w14:paraId="1B5B1A4A">
      <w:pPr>
        <w:spacing w:before="0" w:after="60"/>
        <w:ind w:left="357" w:hanging="357"/>
        <w:jc w:val="both"/>
      </w:pPr>
      <w:r>
        <w:rPr>
          <w:rFonts w:ascii="Times New Roman" w:hAnsi="Times New Roman" w:eastAsia="宋体"/>
          <w:b w:val="0"/>
          <w:i w:val="0"/>
          <w:color w:val="000000"/>
          <w:sz w:val="21"/>
        </w:rPr>
        <w:t>d) 设计和开发过程所涉及的职责和权限；</w:t>
      </w:r>
    </w:p>
    <w:p w14:paraId="3302282D">
      <w:pPr>
        <w:keepNext/>
        <w:spacing w:before="20" w:after="0"/>
        <w:ind w:left="357" w:hanging="357"/>
        <w:jc w:val="both"/>
      </w:pPr>
      <w:r>
        <w:rPr>
          <w:rFonts w:ascii="Times New Roman" w:hAnsi="Times New Roman" w:eastAsia="宋体"/>
          <w:b w:val="0"/>
          <w:i w:val="0"/>
          <w:color w:val="000000"/>
          <w:sz w:val="21"/>
        </w:rPr>
        <w:t>e) the internal and external resource needs for the design and development of products and services;</w:t>
      </w:r>
    </w:p>
    <w:p w14:paraId="54FD8B6E">
      <w:pPr>
        <w:spacing w:before="0" w:after="60"/>
        <w:ind w:left="357" w:hanging="357"/>
        <w:jc w:val="both"/>
      </w:pPr>
      <w:r>
        <w:rPr>
          <w:rFonts w:ascii="Times New Roman" w:hAnsi="Times New Roman" w:eastAsia="宋体"/>
          <w:b w:val="0"/>
          <w:i w:val="0"/>
          <w:color w:val="000000"/>
          <w:sz w:val="21"/>
        </w:rPr>
        <w:t>e) 产品和服务的设计和开发所需的内部和外部资源；</w:t>
      </w:r>
    </w:p>
    <w:p w14:paraId="44F78E5B">
      <w:pPr>
        <w:keepNext/>
        <w:spacing w:before="20" w:after="0"/>
        <w:ind w:left="357" w:hanging="357"/>
        <w:jc w:val="both"/>
      </w:pPr>
      <w:r>
        <w:rPr>
          <w:rFonts w:ascii="Times New Roman" w:hAnsi="Times New Roman" w:eastAsia="宋体"/>
          <w:b w:val="0"/>
          <w:i w:val="0"/>
          <w:color w:val="000000"/>
          <w:sz w:val="21"/>
        </w:rPr>
        <w:t>f) the need to control interfaces between persons involved in the design and development process;</w:t>
      </w:r>
    </w:p>
    <w:p w14:paraId="142AFB04">
      <w:pPr>
        <w:spacing w:before="0" w:after="60"/>
        <w:ind w:left="357" w:hanging="357"/>
        <w:jc w:val="both"/>
      </w:pPr>
      <w:r>
        <w:rPr>
          <w:rFonts w:ascii="Times New Roman" w:hAnsi="Times New Roman" w:eastAsia="宋体"/>
          <w:b w:val="0"/>
          <w:i w:val="0"/>
          <w:color w:val="000000"/>
          <w:sz w:val="21"/>
        </w:rPr>
        <w:t>f) 对设计和开发过程中涉及人员之间的接口进行控制的需要；</w:t>
      </w:r>
    </w:p>
    <w:p w14:paraId="29BBB818">
      <w:pPr>
        <w:keepNext/>
        <w:spacing w:before="20" w:after="0"/>
        <w:ind w:left="357" w:hanging="357"/>
        <w:jc w:val="both"/>
      </w:pPr>
      <w:r>
        <w:rPr>
          <w:rFonts w:ascii="Times New Roman" w:hAnsi="Times New Roman" w:eastAsia="宋体"/>
          <w:b w:val="0"/>
          <w:i w:val="0"/>
          <w:color w:val="000000"/>
          <w:sz w:val="21"/>
        </w:rPr>
        <w:t>g) the need for involvement of customers and other relevant interested parties in the design and development process;</w:t>
      </w:r>
    </w:p>
    <w:p w14:paraId="01ECEC81">
      <w:pPr>
        <w:spacing w:before="0" w:after="60"/>
        <w:ind w:left="357" w:hanging="357"/>
        <w:jc w:val="both"/>
      </w:pPr>
      <w:r>
        <w:rPr>
          <w:rFonts w:ascii="Times New Roman" w:hAnsi="Times New Roman" w:eastAsia="宋体"/>
          <w:b w:val="0"/>
          <w:i w:val="0"/>
          <w:color w:val="000000"/>
          <w:sz w:val="21"/>
        </w:rPr>
        <w:t>g) 顾客和其他相关方参与设计和开发过程的需要；</w:t>
      </w:r>
    </w:p>
    <w:p w14:paraId="11D6174F">
      <w:pPr>
        <w:keepNext/>
        <w:spacing w:before="20" w:after="0"/>
        <w:ind w:left="357" w:hanging="357"/>
        <w:jc w:val="both"/>
      </w:pPr>
      <w:r>
        <w:rPr>
          <w:rFonts w:ascii="Times New Roman" w:hAnsi="Times New Roman" w:eastAsia="宋体"/>
          <w:b w:val="0"/>
          <w:i w:val="0"/>
          <w:color w:val="000000"/>
          <w:sz w:val="21"/>
        </w:rPr>
        <w:t>h) the requirements for the subsequent provision of products and services;</w:t>
      </w:r>
    </w:p>
    <w:p w14:paraId="28903CB9">
      <w:pPr>
        <w:spacing w:before="0" w:after="60"/>
        <w:ind w:left="357" w:hanging="357"/>
        <w:jc w:val="both"/>
      </w:pPr>
      <w:r>
        <w:rPr>
          <w:rFonts w:ascii="Times New Roman" w:hAnsi="Times New Roman" w:eastAsia="宋体"/>
          <w:b w:val="0"/>
          <w:i w:val="0"/>
          <w:color w:val="000000"/>
          <w:sz w:val="21"/>
        </w:rPr>
        <w:t>h) 对后续提供产品和服务的要求；</w:t>
      </w:r>
    </w:p>
    <w:p w14:paraId="7EDF14A1">
      <w:pPr>
        <w:keepNext/>
        <w:spacing w:before="20" w:after="0"/>
        <w:ind w:left="357" w:hanging="357"/>
        <w:jc w:val="both"/>
      </w:pPr>
      <w:r>
        <w:rPr>
          <w:rFonts w:ascii="Times New Roman" w:hAnsi="Times New Roman" w:eastAsia="宋体"/>
          <w:b w:val="0"/>
          <w:i w:val="0"/>
          <w:color w:val="000000"/>
          <w:sz w:val="21"/>
        </w:rPr>
        <w:t>i) the level of control expected for the design and development process by customers and other relevant interested parties;</w:t>
      </w:r>
    </w:p>
    <w:p w14:paraId="04345036">
      <w:pPr>
        <w:spacing w:before="0" w:after="60"/>
        <w:ind w:left="357" w:hanging="357"/>
        <w:jc w:val="both"/>
      </w:pPr>
      <w:r>
        <w:rPr>
          <w:rFonts w:ascii="Times New Roman" w:hAnsi="Times New Roman" w:eastAsia="宋体"/>
          <w:b w:val="0"/>
          <w:i w:val="0"/>
          <w:color w:val="000000"/>
          <w:sz w:val="21"/>
        </w:rPr>
        <w:t>i) 顾客和其他相关方对设计和开发过程所期望的控制水平；</w:t>
      </w:r>
    </w:p>
    <w:p w14:paraId="1E702941">
      <w:pPr>
        <w:keepNext/>
        <w:spacing w:before="20" w:after="0"/>
        <w:ind w:left="357" w:hanging="357"/>
        <w:jc w:val="both"/>
      </w:pPr>
      <w:r>
        <w:rPr>
          <w:rFonts w:ascii="Times New Roman" w:hAnsi="Times New Roman" w:eastAsia="宋体"/>
          <w:b w:val="0"/>
          <w:i w:val="0"/>
          <w:color w:val="000000"/>
          <w:sz w:val="21"/>
        </w:rPr>
        <w:t>j) the documented information needed as evidence that design and development requirements have been met.</w:t>
      </w:r>
    </w:p>
    <w:p w14:paraId="776DF62C">
      <w:pPr>
        <w:spacing w:before="0" w:after="60"/>
        <w:ind w:left="357" w:hanging="357"/>
        <w:jc w:val="both"/>
      </w:pPr>
      <w:r>
        <w:rPr>
          <w:rFonts w:ascii="Times New Roman" w:hAnsi="Times New Roman" w:eastAsia="宋体"/>
          <w:b w:val="0"/>
          <w:i w:val="0"/>
          <w:color w:val="000000"/>
          <w:sz w:val="21"/>
        </w:rPr>
        <w:t>j) 作为设计和开发要求已得到满足的证据所需的成文信息。</w:t>
      </w:r>
    </w:p>
    <w:p w14:paraId="3AF50463">
      <w:pPr>
        <w:keepNext/>
        <w:spacing w:before="200" w:after="0"/>
        <w:jc w:val="left"/>
      </w:pPr>
      <w:r>
        <w:rPr>
          <w:rFonts w:ascii="Times New Roman" w:hAnsi="Times New Roman" w:eastAsia="宋体"/>
          <w:b/>
          <w:i w:val="0"/>
          <w:color w:val="000000"/>
          <w:sz w:val="22"/>
        </w:rPr>
        <w:t>8.3.3  Design and development inputs</w:t>
      </w:r>
    </w:p>
    <w:p w14:paraId="7A2A7917">
      <w:pPr>
        <w:spacing w:before="0" w:after="80"/>
        <w:jc w:val="left"/>
      </w:pPr>
      <w:r>
        <w:rPr>
          <w:rFonts w:ascii="Times New Roman" w:hAnsi="Times New Roman" w:eastAsia="黑体"/>
          <w:b w:val="0"/>
          <w:i w:val="0"/>
          <w:color w:val="000000"/>
          <w:sz w:val="22"/>
        </w:rPr>
        <w:t>8.3.3  设计和开发输入</w:t>
      </w:r>
    </w:p>
    <w:p w14:paraId="693AB609">
      <w:pPr>
        <w:keepNext/>
        <w:spacing w:before="60" w:after="0"/>
        <w:jc w:val="both"/>
      </w:pPr>
      <w:r>
        <w:rPr>
          <w:rFonts w:ascii="Times New Roman" w:hAnsi="Times New Roman" w:eastAsia="宋体"/>
          <w:b w:val="0"/>
          <w:i w:val="0"/>
          <w:color w:val="000000"/>
          <w:sz w:val="21"/>
        </w:rPr>
        <w:t>The organization shall determine the requirements essential for the specific types of products and services to be designed and developed. The organization shall consider:</w:t>
      </w:r>
    </w:p>
    <w:p w14:paraId="4193949F">
      <w:pPr>
        <w:spacing w:before="0" w:after="100"/>
        <w:jc w:val="both"/>
      </w:pPr>
      <w:r>
        <w:rPr>
          <w:rFonts w:ascii="Times New Roman" w:hAnsi="Times New Roman" w:eastAsia="宋体"/>
          <w:b w:val="0"/>
          <w:i w:val="0"/>
          <w:color w:val="000000"/>
          <w:sz w:val="21"/>
        </w:rPr>
        <w:t>组织应针对拟设计和开发的具体类型的产品和服务，确定其基本要求。组织应考虑：</w:t>
      </w:r>
    </w:p>
    <w:p w14:paraId="1A08C036">
      <w:pPr>
        <w:keepNext/>
        <w:spacing w:before="20" w:after="0"/>
        <w:ind w:left="357" w:hanging="357"/>
        <w:jc w:val="both"/>
      </w:pPr>
      <w:r>
        <w:rPr>
          <w:rFonts w:ascii="Times New Roman" w:hAnsi="Times New Roman" w:eastAsia="宋体"/>
          <w:b w:val="0"/>
          <w:i w:val="0"/>
          <w:color w:val="000000"/>
          <w:sz w:val="21"/>
        </w:rPr>
        <w:t>a) functional and performance requirements;</w:t>
      </w:r>
    </w:p>
    <w:p w14:paraId="0D303C97">
      <w:pPr>
        <w:spacing w:before="0" w:after="60"/>
        <w:ind w:left="357" w:hanging="357"/>
        <w:jc w:val="both"/>
      </w:pPr>
      <w:r>
        <w:rPr>
          <w:rFonts w:ascii="Times New Roman" w:hAnsi="Times New Roman" w:eastAsia="宋体"/>
          <w:b w:val="0"/>
          <w:i w:val="0"/>
          <w:color w:val="000000"/>
          <w:sz w:val="21"/>
        </w:rPr>
        <w:t>a) 功能和性能要求；</w:t>
      </w:r>
    </w:p>
    <w:p w14:paraId="29077567">
      <w:pPr>
        <w:keepNext/>
        <w:spacing w:before="20" w:after="0"/>
        <w:ind w:left="357" w:hanging="357"/>
        <w:jc w:val="both"/>
      </w:pPr>
      <w:r>
        <w:rPr>
          <w:rFonts w:ascii="Times New Roman" w:hAnsi="Times New Roman" w:eastAsia="宋体"/>
          <w:b w:val="0"/>
          <w:i w:val="0"/>
          <w:color w:val="000000"/>
          <w:sz w:val="21"/>
        </w:rPr>
        <w:t>b) information derived from previous similar design and development activities;</w:t>
      </w:r>
    </w:p>
    <w:p w14:paraId="7105483F">
      <w:pPr>
        <w:spacing w:before="0" w:after="60"/>
        <w:ind w:left="357" w:hanging="357"/>
        <w:jc w:val="both"/>
      </w:pPr>
      <w:r>
        <w:rPr>
          <w:rFonts w:ascii="Times New Roman" w:hAnsi="Times New Roman" w:eastAsia="宋体"/>
          <w:b w:val="0"/>
          <w:i w:val="0"/>
          <w:color w:val="000000"/>
          <w:sz w:val="21"/>
        </w:rPr>
        <w:t>b) 源于以往类似设计和开发活动的信息；</w:t>
      </w:r>
    </w:p>
    <w:p w14:paraId="29907970">
      <w:pPr>
        <w:keepNext/>
        <w:spacing w:before="20" w:after="0"/>
        <w:ind w:left="357" w:hanging="357"/>
        <w:jc w:val="both"/>
      </w:pPr>
      <w:r>
        <w:rPr>
          <w:rFonts w:ascii="Times New Roman" w:hAnsi="Times New Roman" w:eastAsia="宋体"/>
          <w:b w:val="0"/>
          <w:i w:val="0"/>
          <w:color w:val="000000"/>
          <w:sz w:val="21"/>
        </w:rPr>
        <w:t>c) statutory and regulatory requirements;</w:t>
      </w:r>
    </w:p>
    <w:p w14:paraId="6F0089CF">
      <w:pPr>
        <w:spacing w:before="0" w:after="60"/>
        <w:ind w:left="357" w:hanging="357"/>
        <w:jc w:val="both"/>
      </w:pPr>
      <w:r>
        <w:rPr>
          <w:rFonts w:ascii="Times New Roman" w:hAnsi="Times New Roman" w:eastAsia="宋体"/>
          <w:b w:val="0"/>
          <w:i w:val="0"/>
          <w:color w:val="000000"/>
          <w:sz w:val="21"/>
        </w:rPr>
        <w:t>c) 法律法规要求；</w:t>
      </w:r>
    </w:p>
    <w:p w14:paraId="71C641BB">
      <w:pPr>
        <w:keepNext/>
        <w:spacing w:before="20" w:after="0"/>
        <w:ind w:left="357" w:hanging="357"/>
        <w:jc w:val="both"/>
      </w:pPr>
      <w:r>
        <w:rPr>
          <w:rFonts w:ascii="Times New Roman" w:hAnsi="Times New Roman" w:eastAsia="宋体"/>
          <w:b w:val="0"/>
          <w:i w:val="0"/>
          <w:color w:val="000000"/>
          <w:sz w:val="21"/>
        </w:rPr>
        <w:t>d) standards or codes of practice that it has committed to implement;</w:t>
      </w:r>
    </w:p>
    <w:p w14:paraId="7E10F8D8">
      <w:pPr>
        <w:spacing w:before="0" w:after="60"/>
        <w:ind w:left="357" w:hanging="357"/>
        <w:jc w:val="both"/>
      </w:pPr>
      <w:r>
        <w:rPr>
          <w:rFonts w:ascii="Times New Roman" w:hAnsi="Times New Roman" w:eastAsia="宋体"/>
          <w:b w:val="0"/>
          <w:i w:val="0"/>
          <w:color w:val="000000"/>
          <w:sz w:val="21"/>
        </w:rPr>
        <w:t>d) 组织承诺实施的标准或行业规范；</w:t>
      </w:r>
    </w:p>
    <w:p w14:paraId="7D3C515D">
      <w:pPr>
        <w:keepNext/>
        <w:spacing w:before="20" w:after="0"/>
        <w:ind w:left="357" w:hanging="357"/>
        <w:jc w:val="both"/>
      </w:pPr>
      <w:r>
        <w:rPr>
          <w:rFonts w:ascii="Times New Roman" w:hAnsi="Times New Roman" w:eastAsia="宋体"/>
          <w:b w:val="0"/>
          <w:i w:val="0"/>
          <w:color w:val="000000"/>
          <w:sz w:val="21"/>
        </w:rPr>
        <w:t>e) the potential consequences of failure due to the nature of the products and services.</w:t>
      </w:r>
    </w:p>
    <w:p w14:paraId="4CD382D5">
      <w:pPr>
        <w:spacing w:before="0" w:after="60"/>
        <w:ind w:left="357" w:hanging="357"/>
        <w:jc w:val="both"/>
      </w:pPr>
      <w:r>
        <w:rPr>
          <w:rFonts w:ascii="Times New Roman" w:hAnsi="Times New Roman" w:eastAsia="宋体"/>
          <w:b w:val="0"/>
          <w:i w:val="0"/>
          <w:color w:val="000000"/>
          <w:sz w:val="21"/>
        </w:rPr>
        <w:t>e) 因产品和服务的性质而可能导致失效的潜在后果。</w:t>
      </w:r>
    </w:p>
    <w:p w14:paraId="1D222591">
      <w:pPr>
        <w:keepNext/>
        <w:spacing w:before="60" w:after="0"/>
        <w:jc w:val="both"/>
      </w:pPr>
      <w:r>
        <w:rPr>
          <w:rFonts w:ascii="Times New Roman" w:hAnsi="Times New Roman" w:eastAsia="宋体"/>
          <w:b w:val="0"/>
          <w:i w:val="0"/>
          <w:color w:val="000000"/>
          <w:sz w:val="21"/>
        </w:rPr>
        <w:t>Inputs shall be complete, unambiguous and adequate for design and development purposes.</w:t>
      </w:r>
    </w:p>
    <w:p w14:paraId="1615E7A3">
      <w:pPr>
        <w:spacing w:before="0" w:after="100"/>
        <w:jc w:val="both"/>
      </w:pPr>
      <w:r>
        <w:rPr>
          <w:rFonts w:ascii="Times New Roman" w:hAnsi="Times New Roman" w:eastAsia="宋体"/>
          <w:b w:val="0"/>
          <w:i w:val="0"/>
          <w:color w:val="000000"/>
          <w:sz w:val="21"/>
        </w:rPr>
        <w:t>输入应完整、清晰，并满足设计和开发的用途。</w:t>
      </w:r>
    </w:p>
    <w:p w14:paraId="56BB696C">
      <w:pPr>
        <w:keepNext/>
        <w:spacing w:before="60" w:after="0"/>
        <w:jc w:val="both"/>
      </w:pPr>
      <w:r>
        <w:rPr>
          <w:rFonts w:ascii="Times New Roman" w:hAnsi="Times New Roman" w:eastAsia="宋体"/>
          <w:b w:val="0"/>
          <w:i w:val="0"/>
          <w:color w:val="000000"/>
          <w:sz w:val="21"/>
        </w:rPr>
        <w:t>Conflicting design and development inputs shall be resolved.</w:t>
      </w:r>
    </w:p>
    <w:p w14:paraId="4D232678">
      <w:pPr>
        <w:spacing w:before="0" w:after="100"/>
        <w:jc w:val="both"/>
      </w:pPr>
      <w:r>
        <w:rPr>
          <w:rFonts w:ascii="Times New Roman" w:hAnsi="Times New Roman" w:eastAsia="宋体"/>
          <w:b w:val="0"/>
          <w:i w:val="0"/>
          <w:color w:val="000000"/>
          <w:sz w:val="21"/>
        </w:rPr>
        <w:t>相互冲突的设计和开发输入应予以解决。</w:t>
      </w:r>
    </w:p>
    <w:p w14:paraId="0D84DF6E">
      <w:pPr>
        <w:keepNext/>
        <w:spacing w:before="60" w:after="0"/>
        <w:jc w:val="both"/>
      </w:pPr>
      <w:r>
        <w:rPr>
          <w:rFonts w:ascii="Times New Roman" w:hAnsi="Times New Roman" w:eastAsia="宋体"/>
          <w:b w:val="0"/>
          <w:i w:val="0"/>
          <w:color w:val="000000"/>
          <w:sz w:val="21"/>
        </w:rPr>
        <w:t>Documented information shall be available as evidence of design and development inputs.</w:t>
      </w:r>
    </w:p>
    <w:p w14:paraId="3B1EE652">
      <w:pPr>
        <w:spacing w:before="0" w:after="100"/>
        <w:jc w:val="both"/>
      </w:pPr>
      <w:r>
        <w:rPr>
          <w:rFonts w:ascii="Times New Roman" w:hAnsi="Times New Roman" w:eastAsia="宋体"/>
          <w:b w:val="0"/>
          <w:i w:val="0"/>
          <w:color w:val="000000"/>
          <w:sz w:val="21"/>
        </w:rPr>
        <w:t>应可获得成文信息，作为设计和开发输入的证据。</w:t>
      </w:r>
    </w:p>
    <w:p w14:paraId="7DCA2CC9">
      <w:pPr>
        <w:keepNext/>
        <w:spacing w:before="20" w:after="0"/>
        <w:ind w:left="227"/>
        <w:jc w:val="both"/>
      </w:pPr>
      <w:r>
        <w:rPr>
          <w:rFonts w:ascii="Times New Roman" w:hAnsi="Times New Roman" w:eastAsia="宋体"/>
          <w:b w:val="0"/>
          <w:i/>
          <w:color w:val="000000"/>
          <w:sz w:val="20"/>
        </w:rPr>
        <w:t>NOTE — Design and development inputs are not always fully defined or known initially. Instead, they can evolve as the design progresses, through repeated cycles of development activity.</w:t>
      </w:r>
    </w:p>
    <w:p w14:paraId="6B840E72">
      <w:pPr>
        <w:spacing w:before="0" w:after="100"/>
        <w:ind w:left="227"/>
        <w:jc w:val="both"/>
      </w:pPr>
      <w:r>
        <w:rPr>
          <w:rFonts w:ascii="Times New Roman" w:hAnsi="Times New Roman" w:eastAsia="宋体"/>
          <w:b w:val="0"/>
          <w:i w:val="0"/>
          <w:color w:val="000000"/>
          <w:sz w:val="20"/>
        </w:rPr>
        <w:t>注：设计和开发输入并非总是能够一开始就得到完整界定或为人们所知。相反，随着设计的推进，输入可通过多轮开发活动而逐步形成。</w:t>
      </w:r>
    </w:p>
    <w:p w14:paraId="7DD7D4CB">
      <w:pPr>
        <w:keepNext/>
        <w:spacing w:before="200" w:after="0"/>
        <w:jc w:val="left"/>
      </w:pPr>
      <w:r>
        <w:rPr>
          <w:rFonts w:ascii="Times New Roman" w:hAnsi="Times New Roman" w:eastAsia="宋体"/>
          <w:b/>
          <w:i w:val="0"/>
          <w:color w:val="000000"/>
          <w:sz w:val="22"/>
        </w:rPr>
        <w:t>8.3.4  Design and development controls</w:t>
      </w:r>
    </w:p>
    <w:p w14:paraId="6BAF848D">
      <w:pPr>
        <w:spacing w:before="0" w:after="80"/>
        <w:jc w:val="left"/>
      </w:pPr>
      <w:r>
        <w:rPr>
          <w:rFonts w:ascii="Times New Roman" w:hAnsi="Times New Roman" w:eastAsia="黑体"/>
          <w:b w:val="0"/>
          <w:i w:val="0"/>
          <w:color w:val="000000"/>
          <w:sz w:val="22"/>
        </w:rPr>
        <w:t>8.3.4  设计和开发控制</w:t>
      </w:r>
    </w:p>
    <w:p w14:paraId="634DE611">
      <w:pPr>
        <w:keepNext/>
        <w:spacing w:before="60" w:after="0"/>
        <w:jc w:val="both"/>
      </w:pPr>
      <w:r>
        <w:rPr>
          <w:rFonts w:ascii="Times New Roman" w:hAnsi="Times New Roman" w:eastAsia="宋体"/>
          <w:b w:val="0"/>
          <w:i w:val="0"/>
          <w:color w:val="000000"/>
          <w:sz w:val="21"/>
        </w:rPr>
        <w:t>The organization shall apply controls to the design and development process to ensure that:</w:t>
      </w:r>
    </w:p>
    <w:p w14:paraId="4062970D">
      <w:pPr>
        <w:spacing w:before="0" w:after="100"/>
        <w:jc w:val="both"/>
      </w:pPr>
      <w:r>
        <w:rPr>
          <w:rFonts w:ascii="Times New Roman" w:hAnsi="Times New Roman" w:eastAsia="宋体"/>
          <w:b w:val="0"/>
          <w:i w:val="0"/>
          <w:color w:val="000000"/>
          <w:sz w:val="21"/>
        </w:rPr>
        <w:t>组织应对设计和开发过程实施控制，以确保：</w:t>
      </w:r>
    </w:p>
    <w:p w14:paraId="1BC67447">
      <w:pPr>
        <w:keepNext/>
        <w:spacing w:before="20" w:after="0"/>
        <w:ind w:left="357" w:hanging="357"/>
        <w:jc w:val="both"/>
      </w:pPr>
      <w:r>
        <w:rPr>
          <w:rFonts w:ascii="Times New Roman" w:hAnsi="Times New Roman" w:eastAsia="宋体"/>
          <w:b w:val="0"/>
          <w:i w:val="0"/>
          <w:color w:val="000000"/>
          <w:sz w:val="21"/>
        </w:rPr>
        <w:t>a) the results to be achieved are defined;</w:t>
      </w:r>
    </w:p>
    <w:p w14:paraId="15E24BF0">
      <w:pPr>
        <w:spacing w:before="0" w:after="60"/>
        <w:ind w:left="357" w:hanging="357"/>
        <w:jc w:val="both"/>
      </w:pPr>
      <w:r>
        <w:rPr>
          <w:rFonts w:ascii="Times New Roman" w:hAnsi="Times New Roman" w:eastAsia="宋体"/>
          <w:b w:val="0"/>
          <w:i w:val="0"/>
          <w:color w:val="000000"/>
          <w:sz w:val="21"/>
        </w:rPr>
        <w:t>a) 规定拟实现的结果；</w:t>
      </w:r>
    </w:p>
    <w:p w14:paraId="2678C355">
      <w:pPr>
        <w:keepNext/>
        <w:spacing w:before="20" w:after="0"/>
        <w:ind w:left="357" w:hanging="357"/>
        <w:jc w:val="both"/>
      </w:pPr>
      <w:r>
        <w:rPr>
          <w:rFonts w:ascii="Times New Roman" w:hAnsi="Times New Roman" w:eastAsia="宋体"/>
          <w:b w:val="0"/>
          <w:i w:val="0"/>
          <w:color w:val="000000"/>
          <w:sz w:val="21"/>
        </w:rPr>
        <w:t>b) reviews are conducted to evaluate the ability of the results of design and development to meet requirements;</w:t>
      </w:r>
    </w:p>
    <w:p w14:paraId="6E805C39">
      <w:pPr>
        <w:spacing w:before="0" w:after="60"/>
        <w:ind w:left="357" w:hanging="357"/>
        <w:jc w:val="both"/>
      </w:pPr>
      <w:r>
        <w:rPr>
          <w:rFonts w:ascii="Times New Roman" w:hAnsi="Times New Roman" w:eastAsia="宋体"/>
          <w:b w:val="0"/>
          <w:i w:val="0"/>
          <w:color w:val="000000"/>
          <w:sz w:val="21"/>
        </w:rPr>
        <w:t>b) 实施评审，以评价设计和开发的结果满足要求的能力；</w:t>
      </w:r>
    </w:p>
    <w:p w14:paraId="14C052E6">
      <w:pPr>
        <w:keepNext/>
        <w:spacing w:before="20" w:after="0"/>
        <w:ind w:left="357" w:hanging="357"/>
        <w:jc w:val="both"/>
      </w:pPr>
      <w:r>
        <w:rPr>
          <w:rFonts w:ascii="Times New Roman" w:hAnsi="Times New Roman" w:eastAsia="宋体"/>
          <w:b w:val="0"/>
          <w:i w:val="0"/>
          <w:color w:val="000000"/>
          <w:sz w:val="21"/>
        </w:rPr>
        <w:t>c) verification activities are conducted to ensure that the design and development outputs meet the input requirements;</w:t>
      </w:r>
    </w:p>
    <w:p w14:paraId="67DCDD17">
      <w:pPr>
        <w:spacing w:before="0" w:after="60"/>
        <w:ind w:left="357" w:hanging="357"/>
        <w:jc w:val="both"/>
      </w:pPr>
      <w:r>
        <w:rPr>
          <w:rFonts w:ascii="Times New Roman" w:hAnsi="Times New Roman" w:eastAsia="宋体"/>
          <w:b w:val="0"/>
          <w:i w:val="0"/>
          <w:color w:val="000000"/>
          <w:sz w:val="21"/>
        </w:rPr>
        <w:t>c) 实施验证活动，以确保设计和开发输出满足输入的要求；</w:t>
      </w:r>
    </w:p>
    <w:p w14:paraId="7BCC40CD">
      <w:pPr>
        <w:keepNext/>
        <w:spacing w:before="20" w:after="0"/>
        <w:ind w:left="357" w:hanging="357"/>
        <w:jc w:val="both"/>
      </w:pPr>
      <w:r>
        <w:rPr>
          <w:rFonts w:ascii="Times New Roman" w:hAnsi="Times New Roman" w:eastAsia="宋体"/>
          <w:b w:val="0"/>
          <w:i w:val="0"/>
          <w:color w:val="000000"/>
          <w:sz w:val="21"/>
        </w:rPr>
        <w:t>d) validation activities are conducted to ensure that the resulting products and services meet the requirements for the specified application or intended use;</w:t>
      </w:r>
    </w:p>
    <w:p w14:paraId="447FD67A">
      <w:pPr>
        <w:spacing w:before="0" w:after="60"/>
        <w:ind w:left="357" w:hanging="357"/>
        <w:jc w:val="both"/>
      </w:pPr>
      <w:r>
        <w:rPr>
          <w:rFonts w:ascii="Times New Roman" w:hAnsi="Times New Roman" w:eastAsia="宋体"/>
          <w:b w:val="0"/>
          <w:i w:val="0"/>
          <w:color w:val="000000"/>
          <w:sz w:val="21"/>
        </w:rPr>
        <w:t>d) 实施确认活动，以确保由此形成的产品和服务能够满足规定的应用或预期用途的要求；</w:t>
      </w:r>
    </w:p>
    <w:p w14:paraId="28286156">
      <w:pPr>
        <w:keepNext/>
        <w:spacing w:before="20" w:after="0"/>
        <w:ind w:left="357" w:hanging="357"/>
        <w:jc w:val="both"/>
      </w:pPr>
      <w:r>
        <w:rPr>
          <w:rFonts w:ascii="Times New Roman" w:hAnsi="Times New Roman" w:eastAsia="宋体"/>
          <w:b w:val="0"/>
          <w:i w:val="0"/>
          <w:color w:val="000000"/>
          <w:sz w:val="21"/>
        </w:rPr>
        <w:t>e) necessary actions are taken to address problems determined during the reviews, or verification and validation activities;</w:t>
      </w:r>
    </w:p>
    <w:p w14:paraId="45A37CE3">
      <w:pPr>
        <w:spacing w:before="0" w:after="60"/>
        <w:ind w:left="357" w:hanging="357"/>
        <w:jc w:val="both"/>
      </w:pPr>
      <w:r>
        <w:rPr>
          <w:rFonts w:ascii="Times New Roman" w:hAnsi="Times New Roman" w:eastAsia="宋体"/>
          <w:b w:val="0"/>
          <w:i w:val="0"/>
          <w:color w:val="000000"/>
          <w:sz w:val="21"/>
        </w:rPr>
        <w:t>e) 针对评审或验证与确认活动中确定的问题采取必要的措施；</w:t>
      </w:r>
    </w:p>
    <w:p w14:paraId="5CF21403">
      <w:pPr>
        <w:keepNext/>
        <w:spacing w:before="20" w:after="0"/>
        <w:ind w:left="357" w:hanging="357"/>
        <w:jc w:val="both"/>
      </w:pPr>
      <w:r>
        <w:rPr>
          <w:rFonts w:ascii="Times New Roman" w:hAnsi="Times New Roman" w:eastAsia="宋体"/>
          <w:b w:val="0"/>
          <w:i w:val="0"/>
          <w:color w:val="000000"/>
          <w:sz w:val="21"/>
        </w:rPr>
        <w:t>f) documented information is available as evidence of these activities.</w:t>
      </w:r>
    </w:p>
    <w:p w14:paraId="3839DBFB">
      <w:pPr>
        <w:spacing w:before="0" w:after="60"/>
        <w:ind w:left="357" w:hanging="357"/>
        <w:jc w:val="both"/>
      </w:pPr>
      <w:r>
        <w:rPr>
          <w:rFonts w:ascii="Times New Roman" w:hAnsi="Times New Roman" w:eastAsia="宋体"/>
          <w:b w:val="0"/>
          <w:i w:val="0"/>
          <w:color w:val="000000"/>
          <w:sz w:val="21"/>
        </w:rPr>
        <w:t>f) 获得成文信息，作为这些活动的证据。</w:t>
      </w:r>
    </w:p>
    <w:p w14:paraId="7C95A882">
      <w:pPr>
        <w:keepNext/>
        <w:spacing w:before="20" w:after="0"/>
        <w:ind w:left="227"/>
        <w:jc w:val="both"/>
      </w:pPr>
      <w:r>
        <w:rPr>
          <w:rFonts w:ascii="Times New Roman" w:hAnsi="Times New Roman" w:eastAsia="宋体"/>
          <w:b w:val="0"/>
          <w:i/>
          <w:color w:val="000000"/>
          <w:sz w:val="20"/>
        </w:rPr>
        <w:t>NOTE — Design and development reviews, verification and validation have distinct purposes. They can be conducted separately or in any combination, as suitable for the products and services of the organization.</w:t>
      </w:r>
    </w:p>
    <w:p w14:paraId="6788AE0C">
      <w:pPr>
        <w:spacing w:before="0" w:after="100"/>
        <w:ind w:left="227"/>
        <w:jc w:val="both"/>
      </w:pPr>
      <w:r>
        <w:rPr>
          <w:rFonts w:ascii="Times New Roman" w:hAnsi="Times New Roman" w:eastAsia="宋体"/>
          <w:b w:val="0"/>
          <w:i w:val="0"/>
          <w:color w:val="000000"/>
          <w:sz w:val="20"/>
        </w:rPr>
        <w:t>注：设计和开发的评审、验证和确认具有各自不同的目的。可根据组织的产品和服务的情况，单独实施或以任意组合的方式实施。</w:t>
      </w:r>
    </w:p>
    <w:p w14:paraId="424829F1">
      <w:pPr>
        <w:keepNext/>
        <w:spacing w:before="200" w:after="0"/>
        <w:jc w:val="left"/>
      </w:pPr>
      <w:r>
        <w:rPr>
          <w:rFonts w:ascii="Times New Roman" w:hAnsi="Times New Roman" w:eastAsia="宋体"/>
          <w:b/>
          <w:i w:val="0"/>
          <w:color w:val="000000"/>
          <w:sz w:val="22"/>
        </w:rPr>
        <w:t>8.3.5  Design and development outputs</w:t>
      </w:r>
    </w:p>
    <w:p w14:paraId="3A797897">
      <w:pPr>
        <w:spacing w:before="0" w:after="80"/>
        <w:jc w:val="left"/>
      </w:pPr>
      <w:r>
        <w:rPr>
          <w:rFonts w:ascii="Times New Roman" w:hAnsi="Times New Roman" w:eastAsia="黑体"/>
          <w:b w:val="0"/>
          <w:i w:val="0"/>
          <w:color w:val="000000"/>
          <w:sz w:val="22"/>
        </w:rPr>
        <w:t>8.3.5  设计和开发输出</w:t>
      </w:r>
    </w:p>
    <w:p w14:paraId="7284B886">
      <w:pPr>
        <w:keepNext/>
        <w:spacing w:before="60" w:after="0"/>
        <w:jc w:val="both"/>
      </w:pPr>
      <w:r>
        <w:rPr>
          <w:rFonts w:ascii="Times New Roman" w:hAnsi="Times New Roman" w:eastAsia="宋体"/>
          <w:b w:val="0"/>
          <w:i w:val="0"/>
          <w:color w:val="000000"/>
          <w:sz w:val="21"/>
        </w:rPr>
        <w:t>The organization shall ensure that design and development outputs:</w:t>
      </w:r>
    </w:p>
    <w:p w14:paraId="348FC845">
      <w:pPr>
        <w:spacing w:before="0" w:after="100"/>
        <w:jc w:val="both"/>
      </w:pPr>
      <w:r>
        <w:rPr>
          <w:rFonts w:ascii="Times New Roman" w:hAnsi="Times New Roman" w:eastAsia="宋体"/>
          <w:b w:val="0"/>
          <w:i w:val="0"/>
          <w:color w:val="000000"/>
          <w:sz w:val="21"/>
        </w:rPr>
        <w:t>组织应确保设计和开发输出：</w:t>
      </w:r>
    </w:p>
    <w:p w14:paraId="06392C93">
      <w:pPr>
        <w:keepNext/>
        <w:spacing w:before="20" w:after="0"/>
        <w:ind w:left="357" w:hanging="357"/>
        <w:jc w:val="both"/>
      </w:pPr>
      <w:r>
        <w:rPr>
          <w:rFonts w:ascii="Times New Roman" w:hAnsi="Times New Roman" w:eastAsia="宋体"/>
          <w:b w:val="0"/>
          <w:i w:val="0"/>
          <w:color w:val="000000"/>
          <w:sz w:val="21"/>
        </w:rPr>
        <w:t>a) meet the input requirements;</w:t>
      </w:r>
    </w:p>
    <w:p w14:paraId="1A5F2090">
      <w:pPr>
        <w:spacing w:before="0" w:after="60"/>
        <w:ind w:left="357" w:hanging="357"/>
        <w:jc w:val="both"/>
      </w:pPr>
      <w:r>
        <w:rPr>
          <w:rFonts w:ascii="Times New Roman" w:hAnsi="Times New Roman" w:eastAsia="宋体"/>
          <w:b w:val="0"/>
          <w:i w:val="0"/>
          <w:color w:val="000000"/>
          <w:sz w:val="21"/>
        </w:rPr>
        <w:t>a) 满足输入的要求；</w:t>
      </w:r>
    </w:p>
    <w:p w14:paraId="2FC6B681">
      <w:pPr>
        <w:keepNext/>
        <w:spacing w:before="20" w:after="0"/>
        <w:ind w:left="357" w:hanging="357"/>
        <w:jc w:val="both"/>
      </w:pPr>
      <w:r>
        <w:rPr>
          <w:rFonts w:ascii="Times New Roman" w:hAnsi="Times New Roman" w:eastAsia="宋体"/>
          <w:b w:val="0"/>
          <w:i w:val="0"/>
          <w:color w:val="000000"/>
          <w:sz w:val="21"/>
        </w:rPr>
        <w:t>b) are adequate for the subsequent processes for the provision of products and services;</w:t>
      </w:r>
    </w:p>
    <w:p w14:paraId="56993F2C">
      <w:pPr>
        <w:spacing w:before="0" w:after="60"/>
        <w:ind w:left="357" w:hanging="357"/>
        <w:jc w:val="both"/>
      </w:pPr>
      <w:r>
        <w:rPr>
          <w:rFonts w:ascii="Times New Roman" w:hAnsi="Times New Roman" w:eastAsia="宋体"/>
          <w:b w:val="0"/>
          <w:i w:val="0"/>
          <w:color w:val="000000"/>
          <w:sz w:val="21"/>
        </w:rPr>
        <w:t>b) 对于后续提供产品和服务的过程而言是充分的；</w:t>
      </w:r>
    </w:p>
    <w:p w14:paraId="32537DBC">
      <w:pPr>
        <w:keepNext/>
        <w:spacing w:before="20" w:after="0"/>
        <w:ind w:left="357" w:hanging="357"/>
        <w:jc w:val="both"/>
      </w:pPr>
      <w:r>
        <w:rPr>
          <w:rFonts w:ascii="Times New Roman" w:hAnsi="Times New Roman" w:eastAsia="宋体"/>
          <w:b w:val="0"/>
          <w:i w:val="0"/>
          <w:color w:val="000000"/>
          <w:sz w:val="21"/>
        </w:rPr>
        <w:t>c) include or reference monitoring and measuring requirements, as appropriate, and acceptance criteria;</w:t>
      </w:r>
    </w:p>
    <w:p w14:paraId="3BF8C2D3">
      <w:pPr>
        <w:spacing w:before="0" w:after="60"/>
        <w:ind w:left="357" w:hanging="357"/>
        <w:jc w:val="both"/>
      </w:pPr>
      <w:r>
        <w:rPr>
          <w:rFonts w:ascii="Times New Roman" w:hAnsi="Times New Roman" w:eastAsia="宋体"/>
          <w:b w:val="0"/>
          <w:i w:val="0"/>
          <w:color w:val="000000"/>
          <w:sz w:val="21"/>
        </w:rPr>
        <w:t>c) 适当时，包括或引用监视和测量的要求以及接受准则；</w:t>
      </w:r>
    </w:p>
    <w:p w14:paraId="418137B8">
      <w:pPr>
        <w:keepNext/>
        <w:spacing w:before="20" w:after="0"/>
        <w:ind w:left="357" w:hanging="357"/>
        <w:jc w:val="both"/>
      </w:pPr>
      <w:r>
        <w:rPr>
          <w:rFonts w:ascii="Times New Roman" w:hAnsi="Times New Roman" w:eastAsia="宋体"/>
          <w:b w:val="0"/>
          <w:i w:val="0"/>
          <w:color w:val="000000"/>
          <w:sz w:val="21"/>
        </w:rPr>
        <w:t>d) specify the characteristics of the products and services, and information on the products and services, that are essential for their intended purpose including their safe and proper provision.</w:t>
      </w:r>
    </w:p>
    <w:p w14:paraId="14F0923E">
      <w:pPr>
        <w:spacing w:before="0" w:after="60"/>
        <w:ind w:left="357" w:hanging="357"/>
        <w:jc w:val="both"/>
      </w:pPr>
      <w:r>
        <w:rPr>
          <w:rFonts w:ascii="Times New Roman" w:hAnsi="Times New Roman" w:eastAsia="宋体"/>
          <w:b w:val="0"/>
          <w:i w:val="0"/>
          <w:color w:val="000000"/>
          <w:sz w:val="21"/>
        </w:rPr>
        <w:t>d) 规定对于其预期目的（包括安全和正确提供）至关重要的产品和服务的特性以及相关信息。</w:t>
      </w:r>
    </w:p>
    <w:p w14:paraId="6DD6003C">
      <w:pPr>
        <w:keepNext/>
        <w:spacing w:before="60" w:after="0"/>
        <w:jc w:val="both"/>
      </w:pPr>
      <w:r>
        <w:rPr>
          <w:rFonts w:ascii="Times New Roman" w:hAnsi="Times New Roman" w:eastAsia="宋体"/>
          <w:b w:val="0"/>
          <w:i w:val="0"/>
          <w:color w:val="000000"/>
          <w:sz w:val="21"/>
        </w:rPr>
        <w:t>Documented information shall be available as evidence of design and development outputs.</w:t>
      </w:r>
    </w:p>
    <w:p w14:paraId="12588FF2">
      <w:pPr>
        <w:spacing w:before="0" w:after="100"/>
        <w:jc w:val="both"/>
      </w:pPr>
      <w:r>
        <w:rPr>
          <w:rFonts w:ascii="Times New Roman" w:hAnsi="Times New Roman" w:eastAsia="宋体"/>
          <w:b w:val="0"/>
          <w:i w:val="0"/>
          <w:color w:val="000000"/>
          <w:sz w:val="21"/>
        </w:rPr>
        <w:t>应可获得成文信息，作为设计和开发输出的证据。</w:t>
      </w:r>
    </w:p>
    <w:p w14:paraId="6DEB7C7B">
      <w:pPr>
        <w:keepNext/>
        <w:spacing w:before="200" w:after="0"/>
        <w:jc w:val="left"/>
      </w:pPr>
      <w:r>
        <w:rPr>
          <w:rFonts w:ascii="Times New Roman" w:hAnsi="Times New Roman" w:eastAsia="宋体"/>
          <w:b/>
          <w:i w:val="0"/>
          <w:color w:val="000000"/>
          <w:sz w:val="22"/>
        </w:rPr>
        <w:t>8.3.6  Design and development changes</w:t>
      </w:r>
    </w:p>
    <w:p w14:paraId="0203E0AF">
      <w:pPr>
        <w:spacing w:before="0" w:after="80"/>
        <w:jc w:val="left"/>
      </w:pPr>
      <w:r>
        <w:rPr>
          <w:rFonts w:ascii="Times New Roman" w:hAnsi="Times New Roman" w:eastAsia="黑体"/>
          <w:b w:val="0"/>
          <w:i w:val="0"/>
          <w:color w:val="000000"/>
          <w:sz w:val="22"/>
        </w:rPr>
        <w:t>8.3.6  设计和开发变更</w:t>
      </w:r>
    </w:p>
    <w:p w14:paraId="49897FB1">
      <w:pPr>
        <w:keepNext/>
        <w:spacing w:before="60" w:after="0"/>
        <w:jc w:val="both"/>
      </w:pPr>
      <w:r>
        <w:rPr>
          <w:rFonts w:ascii="Times New Roman" w:hAnsi="Times New Roman" w:eastAsia="宋体"/>
          <w:b w:val="0"/>
          <w:i w:val="0"/>
          <w:color w:val="000000"/>
          <w:sz w:val="21"/>
        </w:rPr>
        <w:t>The organization shall determine, review and control changes made during, or subsequent to, the design and development of products and services, to the extent necessary to ensure that there is no adverse impact on conformity to requirements.</w:t>
      </w:r>
    </w:p>
    <w:p w14:paraId="20A553AD">
      <w:pPr>
        <w:spacing w:before="0" w:after="100"/>
        <w:jc w:val="both"/>
      </w:pPr>
      <w:r>
        <w:rPr>
          <w:rFonts w:ascii="Times New Roman" w:hAnsi="Times New Roman" w:eastAsia="宋体"/>
          <w:b w:val="0"/>
          <w:i w:val="0"/>
          <w:color w:val="000000"/>
          <w:sz w:val="21"/>
        </w:rPr>
        <w:t>组织应识别、评审和控制产品和服务的设计和开发期间以及后续所作的变更，以确保对要求符合性的不利影响降至所需的程度。</w:t>
      </w:r>
    </w:p>
    <w:p w14:paraId="746FDAED">
      <w:pPr>
        <w:keepNext/>
        <w:spacing w:before="60" w:after="0"/>
        <w:jc w:val="both"/>
      </w:pPr>
      <w:r>
        <w:rPr>
          <w:rFonts w:ascii="Times New Roman" w:hAnsi="Times New Roman" w:eastAsia="宋体"/>
          <w:b w:val="0"/>
          <w:i w:val="0"/>
          <w:color w:val="000000"/>
          <w:sz w:val="21"/>
        </w:rPr>
        <w:t>Documented information shall be available as evidence of:</w:t>
      </w:r>
    </w:p>
    <w:p w14:paraId="73EF8B43">
      <w:pPr>
        <w:spacing w:before="0" w:after="100"/>
        <w:jc w:val="both"/>
      </w:pPr>
      <w:r>
        <w:rPr>
          <w:rFonts w:ascii="Times New Roman" w:hAnsi="Times New Roman" w:eastAsia="宋体"/>
          <w:b w:val="0"/>
          <w:i w:val="0"/>
          <w:color w:val="000000"/>
          <w:sz w:val="21"/>
        </w:rPr>
        <w:t>应可获得成文信息，作为以下方面的证据：</w:t>
      </w:r>
    </w:p>
    <w:p w14:paraId="63C5470A">
      <w:pPr>
        <w:keepNext/>
        <w:spacing w:before="20" w:after="0"/>
        <w:ind w:left="357" w:hanging="357"/>
        <w:jc w:val="both"/>
      </w:pPr>
      <w:r>
        <w:rPr>
          <w:rFonts w:ascii="Times New Roman" w:hAnsi="Times New Roman" w:eastAsia="宋体"/>
          <w:b w:val="0"/>
          <w:i w:val="0"/>
          <w:color w:val="000000"/>
          <w:sz w:val="21"/>
        </w:rPr>
        <w:t>a) design and development changes;</w:t>
      </w:r>
    </w:p>
    <w:p w14:paraId="7D9F00BC">
      <w:pPr>
        <w:spacing w:before="0" w:after="60"/>
        <w:ind w:left="357" w:hanging="357"/>
        <w:jc w:val="both"/>
      </w:pPr>
      <w:r>
        <w:rPr>
          <w:rFonts w:ascii="Times New Roman" w:hAnsi="Times New Roman" w:eastAsia="宋体"/>
          <w:b w:val="0"/>
          <w:i w:val="0"/>
          <w:color w:val="000000"/>
          <w:sz w:val="21"/>
        </w:rPr>
        <w:t>a) 设计和开发的变更；</w:t>
      </w:r>
    </w:p>
    <w:p w14:paraId="5A68B400">
      <w:pPr>
        <w:keepNext/>
        <w:spacing w:before="20" w:after="0"/>
        <w:ind w:left="357" w:hanging="357"/>
        <w:jc w:val="both"/>
      </w:pPr>
      <w:r>
        <w:rPr>
          <w:rFonts w:ascii="Times New Roman" w:hAnsi="Times New Roman" w:eastAsia="宋体"/>
          <w:b w:val="0"/>
          <w:i w:val="0"/>
          <w:color w:val="000000"/>
          <w:sz w:val="21"/>
        </w:rPr>
        <w:t>b) results of reviews;</w:t>
      </w:r>
    </w:p>
    <w:p w14:paraId="22B774B1">
      <w:pPr>
        <w:spacing w:before="0" w:after="60"/>
        <w:ind w:left="357" w:hanging="357"/>
        <w:jc w:val="both"/>
      </w:pPr>
      <w:r>
        <w:rPr>
          <w:rFonts w:ascii="Times New Roman" w:hAnsi="Times New Roman" w:eastAsia="宋体"/>
          <w:b w:val="0"/>
          <w:i w:val="0"/>
          <w:color w:val="000000"/>
          <w:sz w:val="21"/>
        </w:rPr>
        <w:t>b) 评审的结果；</w:t>
      </w:r>
    </w:p>
    <w:p w14:paraId="71949EDC">
      <w:pPr>
        <w:keepNext/>
        <w:spacing w:before="20" w:after="0"/>
        <w:ind w:left="357" w:hanging="357"/>
        <w:jc w:val="both"/>
      </w:pPr>
      <w:r>
        <w:rPr>
          <w:rFonts w:ascii="Times New Roman" w:hAnsi="Times New Roman" w:eastAsia="宋体"/>
          <w:b w:val="0"/>
          <w:i w:val="0"/>
          <w:color w:val="000000"/>
          <w:sz w:val="21"/>
        </w:rPr>
        <w:t>c) authorization of the changes;</w:t>
      </w:r>
    </w:p>
    <w:p w14:paraId="1427C5D5">
      <w:pPr>
        <w:spacing w:before="0" w:after="60"/>
        <w:ind w:left="357" w:hanging="357"/>
        <w:jc w:val="both"/>
      </w:pPr>
      <w:r>
        <w:rPr>
          <w:rFonts w:ascii="Times New Roman" w:hAnsi="Times New Roman" w:eastAsia="宋体"/>
          <w:b w:val="0"/>
          <w:i w:val="0"/>
          <w:color w:val="000000"/>
          <w:sz w:val="21"/>
        </w:rPr>
        <w:t>c) 变更的授权；</w:t>
      </w:r>
    </w:p>
    <w:p w14:paraId="065859B9">
      <w:pPr>
        <w:keepNext/>
        <w:spacing w:before="20" w:after="0"/>
        <w:ind w:left="357" w:hanging="357"/>
        <w:jc w:val="both"/>
      </w:pPr>
      <w:r>
        <w:rPr>
          <w:rFonts w:ascii="Times New Roman" w:hAnsi="Times New Roman" w:eastAsia="宋体"/>
          <w:b w:val="0"/>
          <w:i w:val="0"/>
          <w:color w:val="000000"/>
          <w:sz w:val="21"/>
        </w:rPr>
        <w:t>d) actions taken to prevent adverse impacts.</w:t>
      </w:r>
    </w:p>
    <w:p w14:paraId="5CF41B8F">
      <w:pPr>
        <w:spacing w:before="0" w:after="60"/>
        <w:ind w:left="357" w:hanging="357"/>
        <w:jc w:val="both"/>
      </w:pPr>
      <w:r>
        <w:rPr>
          <w:rFonts w:ascii="Times New Roman" w:hAnsi="Times New Roman" w:eastAsia="宋体"/>
          <w:b w:val="0"/>
          <w:i w:val="0"/>
          <w:color w:val="000000"/>
          <w:sz w:val="21"/>
        </w:rPr>
        <w:t>d) 为防止不利影响而采取的措施。</w:t>
      </w:r>
    </w:p>
    <w:p w14:paraId="13E1ACA6">
      <w:pPr>
        <w:keepNext/>
        <w:spacing w:before="240" w:after="0"/>
        <w:jc w:val="left"/>
      </w:pPr>
      <w:r>
        <w:rPr>
          <w:rFonts w:ascii="Times New Roman" w:hAnsi="Times New Roman" w:eastAsia="宋体"/>
          <w:b/>
          <w:i w:val="0"/>
          <w:color w:val="000000"/>
          <w:sz w:val="24"/>
        </w:rPr>
        <w:t>8.4  Control of externally provided processes, products and services</w:t>
      </w:r>
    </w:p>
    <w:p w14:paraId="208AF3A6">
      <w:pPr>
        <w:spacing w:before="0" w:after="80"/>
        <w:jc w:val="left"/>
      </w:pPr>
      <w:r>
        <w:rPr>
          <w:rFonts w:ascii="Times New Roman" w:hAnsi="Times New Roman" w:eastAsia="黑体"/>
          <w:b w:val="0"/>
          <w:i w:val="0"/>
          <w:color w:val="000000"/>
          <w:sz w:val="24"/>
        </w:rPr>
        <w:t>8.4  外部提供的过程、产品和服务的控制</w:t>
      </w:r>
    </w:p>
    <w:p w14:paraId="013160E2">
      <w:pPr>
        <w:keepNext/>
        <w:spacing w:before="200" w:after="0"/>
        <w:jc w:val="left"/>
      </w:pPr>
      <w:r>
        <w:rPr>
          <w:rFonts w:ascii="Times New Roman" w:hAnsi="Times New Roman" w:eastAsia="宋体"/>
          <w:b/>
          <w:i w:val="0"/>
          <w:color w:val="000000"/>
          <w:sz w:val="22"/>
        </w:rPr>
        <w:t>8.4.1  General</w:t>
      </w:r>
    </w:p>
    <w:p w14:paraId="4D6E9E18">
      <w:pPr>
        <w:spacing w:before="0" w:after="80"/>
        <w:jc w:val="left"/>
      </w:pPr>
      <w:r>
        <w:rPr>
          <w:rFonts w:ascii="Times New Roman" w:hAnsi="Times New Roman" w:eastAsia="黑体"/>
          <w:b w:val="0"/>
          <w:i w:val="0"/>
          <w:color w:val="000000"/>
          <w:sz w:val="22"/>
        </w:rPr>
        <w:t>8.4.1  总则</w:t>
      </w:r>
    </w:p>
    <w:p w14:paraId="59A034EC">
      <w:pPr>
        <w:keepNext/>
        <w:spacing w:before="60" w:after="0"/>
        <w:jc w:val="both"/>
      </w:pPr>
      <w:r>
        <w:rPr>
          <w:rFonts w:ascii="Times New Roman" w:hAnsi="Times New Roman" w:eastAsia="宋体"/>
          <w:b w:val="0"/>
          <w:i w:val="0"/>
          <w:color w:val="000000"/>
          <w:sz w:val="21"/>
        </w:rPr>
        <w:t>The organization shall ensure that externally provided processes, products and services conform to requirements.</w:t>
      </w:r>
    </w:p>
    <w:p w14:paraId="67006F7D">
      <w:pPr>
        <w:spacing w:before="0" w:after="100"/>
        <w:jc w:val="both"/>
      </w:pPr>
      <w:r>
        <w:rPr>
          <w:rFonts w:ascii="Times New Roman" w:hAnsi="Times New Roman" w:eastAsia="宋体"/>
          <w:b w:val="0"/>
          <w:i w:val="0"/>
          <w:color w:val="000000"/>
          <w:sz w:val="21"/>
        </w:rPr>
        <w:t>组织应确保外部提供的过程、产品和服务符合要求。</w:t>
      </w:r>
    </w:p>
    <w:p w14:paraId="3BE5ABF3">
      <w:pPr>
        <w:keepNext/>
        <w:spacing w:before="60" w:after="0"/>
        <w:jc w:val="both"/>
      </w:pPr>
      <w:r>
        <w:rPr>
          <w:rFonts w:ascii="Times New Roman" w:hAnsi="Times New Roman" w:eastAsia="宋体"/>
          <w:b w:val="0"/>
          <w:i w:val="0"/>
          <w:color w:val="000000"/>
          <w:sz w:val="21"/>
        </w:rPr>
        <w:t>The organization shall determine the controls to be applied to externally provided processes, products and services when:</w:t>
      </w:r>
    </w:p>
    <w:p w14:paraId="4EA5B3F2">
      <w:pPr>
        <w:spacing w:before="0" w:after="100"/>
        <w:jc w:val="both"/>
      </w:pPr>
      <w:r>
        <w:rPr>
          <w:rFonts w:ascii="Times New Roman" w:hAnsi="Times New Roman" w:eastAsia="宋体"/>
          <w:b w:val="0"/>
          <w:i w:val="0"/>
          <w:color w:val="000000"/>
          <w:sz w:val="21"/>
        </w:rPr>
        <w:t>在下列情况下，组织应确定对外部提供的过程、产品和服务实施的控制：</w:t>
      </w:r>
    </w:p>
    <w:p w14:paraId="3A000AE1">
      <w:pPr>
        <w:keepNext/>
        <w:spacing w:before="20" w:after="0"/>
        <w:ind w:left="357" w:hanging="357"/>
        <w:jc w:val="both"/>
      </w:pPr>
      <w:r>
        <w:rPr>
          <w:rFonts w:ascii="Times New Roman" w:hAnsi="Times New Roman" w:eastAsia="宋体"/>
          <w:b w:val="0"/>
          <w:i w:val="0"/>
          <w:color w:val="000000"/>
          <w:sz w:val="21"/>
        </w:rPr>
        <w:t>a) products and services from external providers are intended for incorporation into the organization's own products and services;</w:t>
      </w:r>
    </w:p>
    <w:p w14:paraId="37177C35">
      <w:pPr>
        <w:spacing w:before="0" w:after="60"/>
        <w:ind w:left="357" w:hanging="357"/>
        <w:jc w:val="both"/>
      </w:pPr>
      <w:r>
        <w:rPr>
          <w:rFonts w:ascii="Times New Roman" w:hAnsi="Times New Roman" w:eastAsia="宋体"/>
          <w:b w:val="0"/>
          <w:i w:val="0"/>
          <w:color w:val="000000"/>
          <w:sz w:val="21"/>
        </w:rPr>
        <w:t>a) 外部供方的产品和服务拟并入组织自身的产品和服务；</w:t>
      </w:r>
    </w:p>
    <w:p w14:paraId="0BA6A045">
      <w:pPr>
        <w:keepNext/>
        <w:spacing w:before="20" w:after="0"/>
        <w:ind w:left="357" w:hanging="357"/>
        <w:jc w:val="both"/>
      </w:pPr>
      <w:r>
        <w:rPr>
          <w:rFonts w:ascii="Times New Roman" w:hAnsi="Times New Roman" w:eastAsia="宋体"/>
          <w:b w:val="0"/>
          <w:i w:val="0"/>
          <w:color w:val="000000"/>
          <w:sz w:val="21"/>
        </w:rPr>
        <w:t>b) products and services are provided directly to customers by external providers on behalf of the organization;</w:t>
      </w:r>
    </w:p>
    <w:p w14:paraId="22C68432">
      <w:pPr>
        <w:spacing w:before="0" w:after="60"/>
        <w:ind w:left="357" w:hanging="357"/>
        <w:jc w:val="both"/>
      </w:pPr>
      <w:r>
        <w:rPr>
          <w:rFonts w:ascii="Times New Roman" w:hAnsi="Times New Roman" w:eastAsia="宋体"/>
          <w:b w:val="0"/>
          <w:i w:val="0"/>
          <w:color w:val="000000"/>
          <w:sz w:val="21"/>
        </w:rPr>
        <w:t>b) 外部供方代表组织直接向顾客提供产品和服务；</w:t>
      </w:r>
    </w:p>
    <w:p w14:paraId="189488DC">
      <w:pPr>
        <w:keepNext/>
        <w:spacing w:before="20" w:after="0"/>
        <w:ind w:left="357" w:hanging="357"/>
        <w:jc w:val="both"/>
      </w:pPr>
      <w:r>
        <w:rPr>
          <w:rFonts w:ascii="Times New Roman" w:hAnsi="Times New Roman" w:eastAsia="宋体"/>
          <w:b w:val="0"/>
          <w:i w:val="0"/>
          <w:color w:val="000000"/>
          <w:sz w:val="21"/>
        </w:rPr>
        <w:t>c) a process, or part of a process, is provided by an external provider.</w:t>
      </w:r>
    </w:p>
    <w:p w14:paraId="099E1072">
      <w:pPr>
        <w:spacing w:before="0" w:after="60"/>
        <w:ind w:left="357" w:hanging="357"/>
        <w:jc w:val="both"/>
      </w:pPr>
      <w:r>
        <w:rPr>
          <w:rFonts w:ascii="Times New Roman" w:hAnsi="Times New Roman" w:eastAsia="宋体"/>
          <w:b w:val="0"/>
          <w:i w:val="0"/>
          <w:color w:val="000000"/>
          <w:sz w:val="21"/>
        </w:rPr>
        <w:t>c) 过程或过程的一部分由外部供方提供。</w:t>
      </w:r>
    </w:p>
    <w:p w14:paraId="3305169E">
      <w:pPr>
        <w:keepNext/>
        <w:spacing w:before="60" w:after="0"/>
        <w:jc w:val="both"/>
      </w:pPr>
      <w:r>
        <w:rPr>
          <w:rFonts w:ascii="Times New Roman" w:hAnsi="Times New Roman" w:eastAsia="宋体"/>
          <w:b w:val="0"/>
          <w:i w:val="0"/>
          <w:color w:val="000000"/>
          <w:sz w:val="21"/>
        </w:rPr>
        <w:t>The organization shall determine and apply criteria for the evaluation, selection, monitoring of performance, and re-evaluation of external providers, based on their ability to provide processes, products or services in accordance with requirements.</w:t>
      </w:r>
    </w:p>
    <w:p w14:paraId="716EE7D9">
      <w:pPr>
        <w:spacing w:before="0" w:after="100"/>
        <w:jc w:val="both"/>
      </w:pPr>
      <w:r>
        <w:rPr>
          <w:rFonts w:ascii="Times New Roman" w:hAnsi="Times New Roman" w:eastAsia="宋体"/>
          <w:b w:val="0"/>
          <w:i w:val="0"/>
          <w:color w:val="000000"/>
          <w:sz w:val="21"/>
        </w:rPr>
        <w:t>组织应根据外部供方按照要求提供过程、产品或服务的能力，确定并实施对外部供方的评价、选择、绩效监视以及再评价的准则。</w:t>
      </w:r>
    </w:p>
    <w:p w14:paraId="156F43C9">
      <w:pPr>
        <w:keepNext/>
        <w:spacing w:before="60" w:after="0"/>
        <w:jc w:val="both"/>
      </w:pPr>
      <w:r>
        <w:rPr>
          <w:rFonts w:ascii="Times New Roman" w:hAnsi="Times New Roman" w:eastAsia="宋体"/>
          <w:b w:val="0"/>
          <w:i w:val="0"/>
          <w:color w:val="000000"/>
          <w:sz w:val="21"/>
        </w:rPr>
        <w:t>Documented information shall be available as evidence of these activities and any necessary actions arising from the evaluations.</w:t>
      </w:r>
    </w:p>
    <w:p w14:paraId="3DB4CBA9">
      <w:pPr>
        <w:spacing w:before="0" w:after="100"/>
        <w:jc w:val="both"/>
      </w:pPr>
      <w:r>
        <w:rPr>
          <w:rFonts w:ascii="Times New Roman" w:hAnsi="Times New Roman" w:eastAsia="宋体"/>
          <w:b w:val="0"/>
          <w:i w:val="0"/>
          <w:color w:val="000000"/>
          <w:sz w:val="21"/>
        </w:rPr>
        <w:t>应可获得成文信息，作为上述活动以及评价所引发的任何必要措施的证据。</w:t>
      </w:r>
    </w:p>
    <w:p w14:paraId="20707428">
      <w:pPr>
        <w:keepNext/>
        <w:spacing w:before="200" w:after="0"/>
        <w:jc w:val="left"/>
      </w:pPr>
      <w:r>
        <w:rPr>
          <w:rFonts w:ascii="Times New Roman" w:hAnsi="Times New Roman" w:eastAsia="宋体"/>
          <w:b/>
          <w:i w:val="0"/>
          <w:color w:val="000000"/>
          <w:sz w:val="22"/>
        </w:rPr>
        <w:t>8.4.2  Type and extent of control</w:t>
      </w:r>
    </w:p>
    <w:p w14:paraId="1BE98D70">
      <w:pPr>
        <w:spacing w:before="0" w:after="80"/>
        <w:jc w:val="left"/>
      </w:pPr>
      <w:r>
        <w:rPr>
          <w:rFonts w:ascii="Times New Roman" w:hAnsi="Times New Roman" w:eastAsia="黑体"/>
          <w:b w:val="0"/>
          <w:i w:val="0"/>
          <w:color w:val="000000"/>
          <w:sz w:val="22"/>
        </w:rPr>
        <w:t>8.4.2  控制的类型和程度</w:t>
      </w:r>
    </w:p>
    <w:p w14:paraId="4BA3755C">
      <w:pPr>
        <w:keepNext/>
        <w:spacing w:before="60" w:after="0"/>
        <w:jc w:val="both"/>
      </w:pPr>
      <w:r>
        <w:rPr>
          <w:rFonts w:ascii="Times New Roman" w:hAnsi="Times New Roman" w:eastAsia="宋体"/>
          <w:b w:val="0"/>
          <w:i w:val="0"/>
          <w:color w:val="000000"/>
          <w:sz w:val="21"/>
        </w:rPr>
        <w:t>The organization shall ensure that externally provided processes, products and services do not adversely affect the organization's ability to consistently deliver conforming products and services to its customers.</w:t>
      </w:r>
    </w:p>
    <w:p w14:paraId="49229776">
      <w:pPr>
        <w:spacing w:before="0" w:after="100"/>
        <w:jc w:val="both"/>
      </w:pPr>
      <w:r>
        <w:rPr>
          <w:rFonts w:ascii="Times New Roman" w:hAnsi="Times New Roman" w:eastAsia="宋体"/>
          <w:b w:val="0"/>
          <w:i w:val="0"/>
          <w:color w:val="000000"/>
          <w:sz w:val="21"/>
        </w:rPr>
        <w:t>组织应确保外部提供的过程、产品和服务不会对组织持续向顾客交付合格产品和服务的能力产生不利影响。</w:t>
      </w:r>
    </w:p>
    <w:p w14:paraId="0DCC1F20">
      <w:pPr>
        <w:keepNext/>
        <w:spacing w:before="60" w:after="0"/>
        <w:jc w:val="both"/>
      </w:pPr>
      <w:r>
        <w:rPr>
          <w:rFonts w:ascii="Times New Roman" w:hAnsi="Times New Roman" w:eastAsia="宋体"/>
          <w:b w:val="0"/>
          <w:i w:val="0"/>
          <w:color w:val="000000"/>
          <w:sz w:val="21"/>
        </w:rPr>
        <w:t>The organization shall:</w:t>
      </w:r>
    </w:p>
    <w:p w14:paraId="0465441D">
      <w:pPr>
        <w:spacing w:before="0" w:after="100"/>
        <w:jc w:val="both"/>
      </w:pPr>
      <w:r>
        <w:rPr>
          <w:rFonts w:ascii="Times New Roman" w:hAnsi="Times New Roman" w:eastAsia="宋体"/>
          <w:b w:val="0"/>
          <w:i w:val="0"/>
          <w:color w:val="000000"/>
          <w:sz w:val="21"/>
        </w:rPr>
        <w:t>组织应：</w:t>
      </w:r>
    </w:p>
    <w:p w14:paraId="629D7387">
      <w:pPr>
        <w:keepNext/>
        <w:spacing w:before="20" w:after="0"/>
        <w:ind w:left="357" w:hanging="357"/>
        <w:jc w:val="both"/>
      </w:pPr>
      <w:r>
        <w:rPr>
          <w:rFonts w:ascii="Times New Roman" w:hAnsi="Times New Roman" w:eastAsia="宋体"/>
          <w:b w:val="0"/>
          <w:i w:val="0"/>
          <w:color w:val="000000"/>
          <w:sz w:val="21"/>
        </w:rPr>
        <w:t>a) ensure that externally provided processes are within the control of its quality management system;</w:t>
      </w:r>
    </w:p>
    <w:p w14:paraId="289572C1">
      <w:pPr>
        <w:spacing w:before="0" w:after="60"/>
        <w:ind w:left="357" w:hanging="357"/>
        <w:jc w:val="both"/>
      </w:pPr>
      <w:r>
        <w:rPr>
          <w:rFonts w:ascii="Times New Roman" w:hAnsi="Times New Roman" w:eastAsia="宋体"/>
          <w:b w:val="0"/>
          <w:i w:val="0"/>
          <w:color w:val="000000"/>
          <w:sz w:val="21"/>
        </w:rPr>
        <w:t>a) 确保外部提供的过程处于其质量管理体系的控制之中；</w:t>
      </w:r>
    </w:p>
    <w:p w14:paraId="6B2BF70A">
      <w:pPr>
        <w:keepNext/>
        <w:spacing w:before="20" w:after="0"/>
        <w:ind w:left="357" w:hanging="357"/>
        <w:jc w:val="both"/>
      </w:pPr>
      <w:r>
        <w:rPr>
          <w:rFonts w:ascii="Times New Roman" w:hAnsi="Times New Roman" w:eastAsia="宋体"/>
          <w:b w:val="0"/>
          <w:i w:val="0"/>
          <w:color w:val="000000"/>
          <w:sz w:val="21"/>
        </w:rPr>
        <w:t>b) define both the controls that it intends to apply to an external provider and those it intends to apply to the resulting output;</w:t>
      </w:r>
    </w:p>
    <w:p w14:paraId="338B177B">
      <w:pPr>
        <w:spacing w:before="0" w:after="60"/>
        <w:ind w:left="357" w:hanging="357"/>
        <w:jc w:val="both"/>
      </w:pPr>
      <w:r>
        <w:rPr>
          <w:rFonts w:ascii="Times New Roman" w:hAnsi="Times New Roman" w:eastAsia="宋体"/>
          <w:b w:val="0"/>
          <w:i w:val="0"/>
          <w:color w:val="000000"/>
          <w:sz w:val="21"/>
        </w:rPr>
        <w:t>b) 规定拟对外部供方实施的控制，以及拟对产生的输出实施的控制；</w:t>
      </w:r>
    </w:p>
    <w:p w14:paraId="4789E090">
      <w:pPr>
        <w:keepNext/>
        <w:spacing w:before="20" w:after="0"/>
        <w:ind w:left="357" w:hanging="357"/>
        <w:jc w:val="both"/>
      </w:pPr>
      <w:r>
        <w:rPr>
          <w:rFonts w:ascii="Times New Roman" w:hAnsi="Times New Roman" w:eastAsia="宋体"/>
          <w:b w:val="0"/>
          <w:i w:val="0"/>
          <w:color w:val="000000"/>
          <w:sz w:val="21"/>
        </w:rPr>
        <w:t>c) take into account:</w:t>
      </w:r>
    </w:p>
    <w:p w14:paraId="655FCA4F">
      <w:pPr>
        <w:spacing w:before="0" w:after="60"/>
        <w:ind w:left="357" w:hanging="357"/>
        <w:jc w:val="both"/>
      </w:pPr>
      <w:r>
        <w:rPr>
          <w:rFonts w:ascii="Times New Roman" w:hAnsi="Times New Roman" w:eastAsia="宋体"/>
          <w:b w:val="0"/>
          <w:i w:val="0"/>
          <w:color w:val="000000"/>
          <w:sz w:val="21"/>
        </w:rPr>
        <w:t>c) 考虑：</w:t>
      </w:r>
    </w:p>
    <w:p w14:paraId="67FB877F">
      <w:pPr>
        <w:keepNext/>
        <w:spacing w:before="20" w:after="0"/>
        <w:ind w:left="720" w:hanging="363"/>
        <w:jc w:val="both"/>
      </w:pPr>
      <w:r>
        <w:rPr>
          <w:rFonts w:ascii="Times New Roman" w:hAnsi="Times New Roman" w:eastAsia="宋体"/>
          <w:b w:val="0"/>
          <w:i w:val="0"/>
          <w:color w:val="000000"/>
          <w:sz w:val="21"/>
        </w:rPr>
        <w:t>1) the potential impact of the externally provided processes, products and services on the organization's ability to consistently meet customer and applicable statutory and regulatory requirements;</w:t>
      </w:r>
    </w:p>
    <w:p w14:paraId="5C58D89E">
      <w:pPr>
        <w:spacing w:before="0" w:after="60"/>
        <w:ind w:left="720" w:hanging="363"/>
        <w:jc w:val="both"/>
      </w:pPr>
      <w:r>
        <w:rPr>
          <w:rFonts w:ascii="Times New Roman" w:hAnsi="Times New Roman" w:eastAsia="宋体"/>
          <w:b w:val="0"/>
          <w:i w:val="0"/>
          <w:color w:val="000000"/>
          <w:sz w:val="21"/>
        </w:rPr>
        <w:t>1) 外部提供的过程、产品和服务对组织持续满足顾客要求以及适用的法律法规要求的能力的潜在影响；</w:t>
      </w:r>
    </w:p>
    <w:p w14:paraId="4C434AFC">
      <w:pPr>
        <w:keepNext/>
        <w:spacing w:before="20" w:after="0"/>
        <w:ind w:left="720" w:hanging="363"/>
        <w:jc w:val="both"/>
      </w:pPr>
      <w:r>
        <w:rPr>
          <w:rFonts w:ascii="Times New Roman" w:hAnsi="Times New Roman" w:eastAsia="宋体"/>
          <w:b w:val="0"/>
          <w:i w:val="0"/>
          <w:color w:val="000000"/>
          <w:sz w:val="21"/>
        </w:rPr>
        <w:t>2) the effectiveness of the controls applied by the external provider;</w:t>
      </w:r>
    </w:p>
    <w:p w14:paraId="38B53AFA">
      <w:pPr>
        <w:spacing w:before="0" w:after="60"/>
        <w:ind w:left="720" w:hanging="363"/>
        <w:jc w:val="both"/>
      </w:pPr>
      <w:r>
        <w:rPr>
          <w:rFonts w:ascii="Times New Roman" w:hAnsi="Times New Roman" w:eastAsia="宋体"/>
          <w:b w:val="0"/>
          <w:i w:val="0"/>
          <w:color w:val="000000"/>
          <w:sz w:val="21"/>
        </w:rPr>
        <w:t>2) 外部供方实施控制的有效性；</w:t>
      </w:r>
    </w:p>
    <w:p w14:paraId="78554F55">
      <w:pPr>
        <w:keepNext/>
        <w:spacing w:before="20" w:after="0"/>
        <w:ind w:left="357" w:hanging="357"/>
        <w:jc w:val="both"/>
      </w:pPr>
      <w:r>
        <w:rPr>
          <w:rFonts w:ascii="Times New Roman" w:hAnsi="Times New Roman" w:eastAsia="宋体"/>
          <w:b w:val="0"/>
          <w:i w:val="0"/>
          <w:color w:val="000000"/>
          <w:sz w:val="21"/>
        </w:rPr>
        <w:t>d) determine the verification, or other activities, necessary to ensure that the externally provided processes, products and services meet the requirements.</w:t>
      </w:r>
    </w:p>
    <w:p w14:paraId="75D43E7F">
      <w:pPr>
        <w:spacing w:before="0" w:after="60"/>
        <w:ind w:left="357" w:hanging="357"/>
        <w:jc w:val="both"/>
      </w:pPr>
      <w:r>
        <w:rPr>
          <w:rFonts w:ascii="Times New Roman" w:hAnsi="Times New Roman" w:eastAsia="宋体"/>
          <w:b w:val="0"/>
          <w:i w:val="0"/>
          <w:color w:val="000000"/>
          <w:sz w:val="21"/>
        </w:rPr>
        <w:t>d) 确定必要的验证或其他活动，以确保外部提供的过程、产品和服务满足要求。</w:t>
      </w:r>
    </w:p>
    <w:p w14:paraId="376A80E8">
      <w:pPr>
        <w:keepNext/>
        <w:spacing w:before="200" w:after="0"/>
        <w:jc w:val="left"/>
      </w:pPr>
      <w:r>
        <w:rPr>
          <w:rFonts w:ascii="Times New Roman" w:hAnsi="Times New Roman" w:eastAsia="宋体"/>
          <w:b/>
          <w:i w:val="0"/>
          <w:color w:val="000000"/>
          <w:sz w:val="22"/>
        </w:rPr>
        <w:t>8.4.3  Information for external providers</w:t>
      </w:r>
    </w:p>
    <w:p w14:paraId="2A2813DD">
      <w:pPr>
        <w:spacing w:before="0" w:after="80"/>
        <w:jc w:val="left"/>
      </w:pPr>
      <w:r>
        <w:rPr>
          <w:rFonts w:ascii="Times New Roman" w:hAnsi="Times New Roman" w:eastAsia="黑体"/>
          <w:b w:val="0"/>
          <w:i w:val="0"/>
          <w:color w:val="000000"/>
          <w:sz w:val="22"/>
        </w:rPr>
        <w:t>8.4.3  提供给外部供方的信息</w:t>
      </w:r>
    </w:p>
    <w:p w14:paraId="28626E36">
      <w:pPr>
        <w:keepNext/>
        <w:spacing w:before="60" w:after="0"/>
        <w:jc w:val="both"/>
      </w:pPr>
      <w:r>
        <w:rPr>
          <w:rFonts w:ascii="Times New Roman" w:hAnsi="Times New Roman" w:eastAsia="宋体"/>
          <w:b w:val="0"/>
          <w:i w:val="0"/>
          <w:color w:val="000000"/>
          <w:sz w:val="21"/>
        </w:rPr>
        <w:t>The organization shall ensure the adequacy of requirements prior to their communication to the external provider.</w:t>
      </w:r>
    </w:p>
    <w:p w14:paraId="37A6CACB">
      <w:pPr>
        <w:spacing w:before="0" w:after="100"/>
        <w:jc w:val="both"/>
      </w:pPr>
      <w:r>
        <w:rPr>
          <w:rFonts w:ascii="Times New Roman" w:hAnsi="Times New Roman" w:eastAsia="宋体"/>
          <w:b w:val="0"/>
          <w:i w:val="0"/>
          <w:color w:val="000000"/>
          <w:sz w:val="21"/>
        </w:rPr>
        <w:t>组织应确保在与外部供方沟通之前，所确定的要求是充分的。</w:t>
      </w:r>
    </w:p>
    <w:p w14:paraId="2B8C3D44">
      <w:pPr>
        <w:keepNext/>
        <w:spacing w:before="60" w:after="0"/>
        <w:jc w:val="both"/>
      </w:pPr>
      <w:r>
        <w:rPr>
          <w:rFonts w:ascii="Times New Roman" w:hAnsi="Times New Roman" w:eastAsia="宋体"/>
          <w:b w:val="0"/>
          <w:i w:val="0"/>
          <w:color w:val="000000"/>
          <w:sz w:val="21"/>
        </w:rPr>
        <w:t>The organization shall communicate its requirements to external providers, as appropriate, for:</w:t>
      </w:r>
    </w:p>
    <w:p w14:paraId="638A2464">
      <w:pPr>
        <w:spacing w:before="0" w:after="100"/>
        <w:jc w:val="both"/>
      </w:pPr>
      <w:r>
        <w:rPr>
          <w:rFonts w:ascii="Times New Roman" w:hAnsi="Times New Roman" w:eastAsia="宋体"/>
          <w:b w:val="0"/>
          <w:i w:val="0"/>
          <w:color w:val="000000"/>
          <w:sz w:val="21"/>
        </w:rPr>
        <w:t>适用时，组织应就以下方面与外部供方沟通其要求：</w:t>
      </w:r>
    </w:p>
    <w:p w14:paraId="67BD6492">
      <w:pPr>
        <w:keepNext/>
        <w:spacing w:before="20" w:after="0"/>
        <w:ind w:left="357" w:hanging="357"/>
        <w:jc w:val="both"/>
      </w:pPr>
      <w:r>
        <w:rPr>
          <w:rFonts w:ascii="Times New Roman" w:hAnsi="Times New Roman" w:eastAsia="宋体"/>
          <w:b w:val="0"/>
          <w:i w:val="0"/>
          <w:color w:val="000000"/>
          <w:sz w:val="21"/>
        </w:rPr>
        <w:t>a) the processes, products and services to be provided;</w:t>
      </w:r>
    </w:p>
    <w:p w14:paraId="6063EF41">
      <w:pPr>
        <w:spacing w:before="0" w:after="60"/>
        <w:ind w:left="357" w:hanging="357"/>
        <w:jc w:val="both"/>
      </w:pPr>
      <w:r>
        <w:rPr>
          <w:rFonts w:ascii="Times New Roman" w:hAnsi="Times New Roman" w:eastAsia="宋体"/>
          <w:b w:val="0"/>
          <w:i w:val="0"/>
          <w:color w:val="000000"/>
          <w:sz w:val="21"/>
        </w:rPr>
        <w:t>a) 拟提供的过程、产品和服务；</w:t>
      </w:r>
    </w:p>
    <w:p w14:paraId="1E8C12E7">
      <w:pPr>
        <w:keepNext/>
        <w:spacing w:before="20" w:after="0"/>
        <w:ind w:left="357" w:hanging="357"/>
        <w:jc w:val="both"/>
      </w:pPr>
      <w:r>
        <w:rPr>
          <w:rFonts w:ascii="Times New Roman" w:hAnsi="Times New Roman" w:eastAsia="宋体"/>
          <w:b w:val="0"/>
          <w:i w:val="0"/>
          <w:color w:val="000000"/>
          <w:sz w:val="21"/>
        </w:rPr>
        <w:t>b) the approval of:</w:t>
      </w:r>
    </w:p>
    <w:p w14:paraId="2DB73493">
      <w:pPr>
        <w:spacing w:before="0" w:after="60"/>
        <w:ind w:left="357" w:hanging="357"/>
        <w:jc w:val="both"/>
      </w:pPr>
      <w:r>
        <w:rPr>
          <w:rFonts w:ascii="Times New Roman" w:hAnsi="Times New Roman" w:eastAsia="宋体"/>
          <w:b w:val="0"/>
          <w:i w:val="0"/>
          <w:color w:val="000000"/>
          <w:sz w:val="21"/>
        </w:rPr>
        <w:t>b) 下列事项的批准：</w:t>
      </w:r>
    </w:p>
    <w:p w14:paraId="0D566D87">
      <w:pPr>
        <w:keepNext/>
        <w:spacing w:before="20" w:after="0"/>
        <w:ind w:left="720" w:hanging="363"/>
        <w:jc w:val="both"/>
      </w:pPr>
      <w:r>
        <w:rPr>
          <w:rFonts w:ascii="Times New Roman" w:hAnsi="Times New Roman" w:eastAsia="宋体"/>
          <w:b w:val="0"/>
          <w:i w:val="0"/>
          <w:color w:val="000000"/>
          <w:sz w:val="21"/>
        </w:rPr>
        <w:t>1) products and services;</w:t>
      </w:r>
    </w:p>
    <w:p w14:paraId="065C6F10">
      <w:pPr>
        <w:spacing w:before="0" w:after="60"/>
        <w:ind w:left="720" w:hanging="363"/>
        <w:jc w:val="both"/>
      </w:pPr>
      <w:r>
        <w:rPr>
          <w:rFonts w:ascii="Times New Roman" w:hAnsi="Times New Roman" w:eastAsia="宋体"/>
          <w:b w:val="0"/>
          <w:i w:val="0"/>
          <w:color w:val="000000"/>
          <w:sz w:val="21"/>
        </w:rPr>
        <w:t>1) 产品和服务；</w:t>
      </w:r>
    </w:p>
    <w:p w14:paraId="51745080">
      <w:pPr>
        <w:keepNext/>
        <w:spacing w:before="20" w:after="0"/>
        <w:ind w:left="720" w:hanging="363"/>
        <w:jc w:val="both"/>
      </w:pPr>
      <w:r>
        <w:rPr>
          <w:rFonts w:ascii="Times New Roman" w:hAnsi="Times New Roman" w:eastAsia="宋体"/>
          <w:b w:val="0"/>
          <w:i w:val="0"/>
          <w:color w:val="000000"/>
          <w:sz w:val="21"/>
        </w:rPr>
        <w:t>2) methods, processes and equipment;</w:t>
      </w:r>
    </w:p>
    <w:p w14:paraId="6FE0E9E6">
      <w:pPr>
        <w:spacing w:before="0" w:after="60"/>
        <w:ind w:left="720" w:hanging="363"/>
        <w:jc w:val="both"/>
      </w:pPr>
      <w:r>
        <w:rPr>
          <w:rFonts w:ascii="Times New Roman" w:hAnsi="Times New Roman" w:eastAsia="宋体"/>
          <w:b w:val="0"/>
          <w:i w:val="0"/>
          <w:color w:val="000000"/>
          <w:sz w:val="21"/>
        </w:rPr>
        <w:t>2) 方法、过程和设备；</w:t>
      </w:r>
    </w:p>
    <w:p w14:paraId="78D2F7F1">
      <w:pPr>
        <w:keepNext/>
        <w:spacing w:before="20" w:after="0"/>
        <w:ind w:left="720" w:hanging="363"/>
        <w:jc w:val="both"/>
      </w:pPr>
      <w:r>
        <w:rPr>
          <w:rFonts w:ascii="Times New Roman" w:hAnsi="Times New Roman" w:eastAsia="宋体"/>
          <w:b w:val="0"/>
          <w:i w:val="0"/>
          <w:color w:val="000000"/>
          <w:sz w:val="21"/>
        </w:rPr>
        <w:t>3) the release of products and services;</w:t>
      </w:r>
    </w:p>
    <w:p w14:paraId="10203DEE">
      <w:pPr>
        <w:spacing w:before="0" w:after="60"/>
        <w:ind w:left="720" w:hanging="363"/>
        <w:jc w:val="both"/>
      </w:pPr>
      <w:r>
        <w:rPr>
          <w:rFonts w:ascii="Times New Roman" w:hAnsi="Times New Roman" w:eastAsia="宋体"/>
          <w:b w:val="0"/>
          <w:i w:val="0"/>
          <w:color w:val="000000"/>
          <w:sz w:val="21"/>
        </w:rPr>
        <w:t>3) 产品和服务的放行；</w:t>
      </w:r>
    </w:p>
    <w:p w14:paraId="79994AA1">
      <w:pPr>
        <w:keepNext/>
        <w:spacing w:before="20" w:after="0"/>
        <w:ind w:left="357" w:hanging="357"/>
        <w:jc w:val="both"/>
      </w:pPr>
      <w:r>
        <w:rPr>
          <w:rFonts w:ascii="Times New Roman" w:hAnsi="Times New Roman" w:eastAsia="宋体"/>
          <w:b w:val="0"/>
          <w:i w:val="0"/>
          <w:color w:val="000000"/>
          <w:sz w:val="21"/>
        </w:rPr>
        <w:t>c) competence, including any required qualifications;</w:t>
      </w:r>
    </w:p>
    <w:p w14:paraId="06BFA1E6">
      <w:pPr>
        <w:spacing w:before="0" w:after="60"/>
        <w:ind w:left="357" w:hanging="357"/>
        <w:jc w:val="both"/>
      </w:pPr>
      <w:r>
        <w:rPr>
          <w:rFonts w:ascii="Times New Roman" w:hAnsi="Times New Roman" w:eastAsia="宋体"/>
          <w:b w:val="0"/>
          <w:i w:val="0"/>
          <w:color w:val="000000"/>
          <w:sz w:val="21"/>
        </w:rPr>
        <w:t>c) 能力，包括任何所要求的资格；</w:t>
      </w:r>
    </w:p>
    <w:p w14:paraId="123F7A61">
      <w:pPr>
        <w:keepNext/>
        <w:spacing w:before="20" w:after="0"/>
        <w:ind w:left="357" w:hanging="357"/>
        <w:jc w:val="both"/>
      </w:pPr>
      <w:r>
        <w:rPr>
          <w:rFonts w:ascii="Times New Roman" w:hAnsi="Times New Roman" w:eastAsia="宋体"/>
          <w:b w:val="0"/>
          <w:i w:val="0"/>
          <w:color w:val="000000"/>
          <w:sz w:val="21"/>
        </w:rPr>
        <w:t>d) the external providers' interactions with the organization and, as applicable, its customers and other relevant interested parties;</w:t>
      </w:r>
    </w:p>
    <w:p w14:paraId="4960C550">
      <w:pPr>
        <w:spacing w:before="0" w:after="60"/>
        <w:ind w:left="357" w:hanging="357"/>
        <w:jc w:val="both"/>
      </w:pPr>
      <w:r>
        <w:rPr>
          <w:rFonts w:ascii="Times New Roman" w:hAnsi="Times New Roman" w:eastAsia="宋体"/>
          <w:b w:val="0"/>
          <w:i w:val="0"/>
          <w:color w:val="000000"/>
          <w:sz w:val="21"/>
        </w:rPr>
        <w:t>d) 外部供方与组织之间以及适用时与组织的顾客和其他相关方之间的互动；</w:t>
      </w:r>
    </w:p>
    <w:p w14:paraId="35042AC1">
      <w:pPr>
        <w:keepNext/>
        <w:spacing w:before="20" w:after="0"/>
        <w:ind w:left="357" w:hanging="357"/>
        <w:jc w:val="both"/>
      </w:pPr>
      <w:r>
        <w:rPr>
          <w:rFonts w:ascii="Times New Roman" w:hAnsi="Times New Roman" w:eastAsia="宋体"/>
          <w:b w:val="0"/>
          <w:i w:val="0"/>
          <w:color w:val="000000"/>
          <w:sz w:val="21"/>
        </w:rPr>
        <w:t>e) the control and monitoring it applies to the performance of its external providers;</w:t>
      </w:r>
    </w:p>
    <w:p w14:paraId="63678065">
      <w:pPr>
        <w:spacing w:before="0" w:after="60"/>
        <w:ind w:left="357" w:hanging="357"/>
        <w:jc w:val="both"/>
      </w:pPr>
      <w:r>
        <w:rPr>
          <w:rFonts w:ascii="Times New Roman" w:hAnsi="Times New Roman" w:eastAsia="宋体"/>
          <w:b w:val="0"/>
          <w:i w:val="0"/>
          <w:color w:val="000000"/>
          <w:sz w:val="21"/>
        </w:rPr>
        <w:t>e) 组织对外部供方绩效所实施的控制和监视；</w:t>
      </w:r>
    </w:p>
    <w:p w14:paraId="1C6FC87D">
      <w:pPr>
        <w:keepNext/>
        <w:spacing w:before="20" w:after="0"/>
        <w:ind w:left="357" w:hanging="357"/>
        <w:jc w:val="both"/>
      </w:pPr>
      <w:r>
        <w:rPr>
          <w:rFonts w:ascii="Times New Roman" w:hAnsi="Times New Roman" w:eastAsia="宋体"/>
          <w:b w:val="0"/>
          <w:i w:val="0"/>
          <w:color w:val="000000"/>
          <w:sz w:val="21"/>
        </w:rPr>
        <w:t>f) verification or validation activities that the organization, or its customer, intends to perform at the external providers' premises or other location.</w:t>
      </w:r>
    </w:p>
    <w:p w14:paraId="5C5EE596">
      <w:pPr>
        <w:spacing w:before="0" w:after="60"/>
        <w:ind w:left="357" w:hanging="357"/>
        <w:jc w:val="both"/>
      </w:pPr>
      <w:r>
        <w:rPr>
          <w:rFonts w:ascii="Times New Roman" w:hAnsi="Times New Roman" w:eastAsia="宋体"/>
          <w:b w:val="0"/>
          <w:i w:val="0"/>
          <w:color w:val="000000"/>
          <w:sz w:val="21"/>
        </w:rPr>
        <w:t>f) 组织或其顾客拟在外部供方现场或其他地点实施的验证或确认活动。</w:t>
      </w:r>
    </w:p>
    <w:p w14:paraId="55C36ADD">
      <w:pPr>
        <w:keepNext/>
        <w:spacing w:before="240" w:after="0"/>
        <w:jc w:val="left"/>
      </w:pPr>
      <w:r>
        <w:rPr>
          <w:rFonts w:ascii="Times New Roman" w:hAnsi="Times New Roman" w:eastAsia="宋体"/>
          <w:b/>
          <w:i w:val="0"/>
          <w:color w:val="000000"/>
          <w:sz w:val="24"/>
        </w:rPr>
        <w:t>8.5  Production and service provision</w:t>
      </w:r>
    </w:p>
    <w:p w14:paraId="683F94AF">
      <w:pPr>
        <w:spacing w:before="0" w:after="80"/>
        <w:jc w:val="left"/>
      </w:pPr>
      <w:r>
        <w:rPr>
          <w:rFonts w:ascii="Times New Roman" w:hAnsi="Times New Roman" w:eastAsia="黑体"/>
          <w:b w:val="0"/>
          <w:i w:val="0"/>
          <w:color w:val="000000"/>
          <w:sz w:val="24"/>
        </w:rPr>
        <w:t>8.5  生产和服务提供</w:t>
      </w:r>
    </w:p>
    <w:p w14:paraId="7C7EF0B5">
      <w:pPr>
        <w:keepNext/>
        <w:spacing w:before="200" w:after="0"/>
        <w:jc w:val="left"/>
      </w:pPr>
      <w:r>
        <w:rPr>
          <w:rFonts w:ascii="Times New Roman" w:hAnsi="Times New Roman" w:eastAsia="宋体"/>
          <w:b/>
          <w:i w:val="0"/>
          <w:color w:val="000000"/>
          <w:sz w:val="22"/>
        </w:rPr>
        <w:t>8.5.1  Control of production and service provision</w:t>
      </w:r>
    </w:p>
    <w:p w14:paraId="2894D085">
      <w:pPr>
        <w:spacing w:before="0" w:after="80"/>
        <w:jc w:val="left"/>
      </w:pPr>
      <w:r>
        <w:rPr>
          <w:rFonts w:ascii="Times New Roman" w:hAnsi="Times New Roman" w:eastAsia="黑体"/>
          <w:b w:val="0"/>
          <w:i w:val="0"/>
          <w:color w:val="000000"/>
          <w:sz w:val="22"/>
        </w:rPr>
        <w:t>8.5.1  生产和服务提供的控制</w:t>
      </w:r>
    </w:p>
    <w:p w14:paraId="4A95BD18">
      <w:pPr>
        <w:keepNext/>
        <w:spacing w:before="60" w:after="0"/>
        <w:jc w:val="both"/>
      </w:pPr>
      <w:r>
        <w:rPr>
          <w:rFonts w:ascii="Times New Roman" w:hAnsi="Times New Roman" w:eastAsia="宋体"/>
          <w:b w:val="0"/>
          <w:i w:val="0"/>
          <w:color w:val="000000"/>
          <w:sz w:val="21"/>
        </w:rPr>
        <w:t>The organization shall implement production and service provision under controlled conditions.</w:t>
      </w:r>
    </w:p>
    <w:p w14:paraId="09B1F4C5">
      <w:pPr>
        <w:spacing w:before="0" w:after="100"/>
        <w:jc w:val="both"/>
      </w:pPr>
      <w:r>
        <w:rPr>
          <w:rFonts w:ascii="Times New Roman" w:hAnsi="Times New Roman" w:eastAsia="宋体"/>
          <w:b w:val="0"/>
          <w:i w:val="0"/>
          <w:color w:val="000000"/>
          <w:sz w:val="21"/>
        </w:rPr>
        <w:t>组织应在受控条件下实施生产和服务提供。</w:t>
      </w:r>
    </w:p>
    <w:p w14:paraId="1929ABBA">
      <w:pPr>
        <w:keepNext/>
        <w:spacing w:before="60" w:after="0"/>
        <w:jc w:val="both"/>
      </w:pPr>
      <w:r>
        <w:rPr>
          <w:rFonts w:ascii="Times New Roman" w:hAnsi="Times New Roman" w:eastAsia="宋体"/>
          <w:b w:val="0"/>
          <w:i w:val="0"/>
          <w:color w:val="000000"/>
          <w:sz w:val="21"/>
        </w:rPr>
        <w:t>The controlled conditions shall include, as applicable:</w:t>
      </w:r>
    </w:p>
    <w:p w14:paraId="6DBAABAA">
      <w:pPr>
        <w:spacing w:before="0" w:after="100"/>
        <w:jc w:val="both"/>
      </w:pPr>
      <w:r>
        <w:rPr>
          <w:rFonts w:ascii="Times New Roman" w:hAnsi="Times New Roman" w:eastAsia="宋体"/>
          <w:b w:val="0"/>
          <w:i w:val="0"/>
          <w:color w:val="000000"/>
          <w:sz w:val="21"/>
        </w:rPr>
        <w:t>适用时，受控条件应包括：</w:t>
      </w:r>
    </w:p>
    <w:p w14:paraId="655DAB3C">
      <w:pPr>
        <w:keepNext/>
        <w:spacing w:before="20" w:after="0"/>
        <w:ind w:left="357" w:hanging="357"/>
        <w:jc w:val="both"/>
      </w:pPr>
      <w:r>
        <w:rPr>
          <w:rFonts w:ascii="Times New Roman" w:hAnsi="Times New Roman" w:eastAsia="宋体"/>
          <w:b w:val="0"/>
          <w:i w:val="0"/>
          <w:color w:val="000000"/>
          <w:sz w:val="21"/>
        </w:rPr>
        <w:t>a) the availability and use of documented information that defines:</w:t>
      </w:r>
    </w:p>
    <w:p w14:paraId="54017F57">
      <w:pPr>
        <w:spacing w:before="0" w:after="60"/>
        <w:ind w:left="357" w:hanging="357"/>
        <w:jc w:val="both"/>
      </w:pPr>
      <w:r>
        <w:rPr>
          <w:rFonts w:ascii="Times New Roman" w:hAnsi="Times New Roman" w:eastAsia="宋体"/>
          <w:b w:val="0"/>
          <w:i w:val="0"/>
          <w:color w:val="000000"/>
          <w:sz w:val="21"/>
        </w:rPr>
        <w:t>a) 可获得并使用规定下列内容的成文信息：</w:t>
      </w:r>
    </w:p>
    <w:p w14:paraId="2FE738BB">
      <w:pPr>
        <w:keepNext/>
        <w:spacing w:before="20" w:after="0"/>
        <w:ind w:left="720" w:hanging="363"/>
        <w:jc w:val="both"/>
      </w:pPr>
      <w:r>
        <w:rPr>
          <w:rFonts w:ascii="Times New Roman" w:hAnsi="Times New Roman" w:eastAsia="宋体"/>
          <w:b w:val="0"/>
          <w:i w:val="0"/>
          <w:color w:val="000000"/>
          <w:sz w:val="21"/>
        </w:rPr>
        <w:t>1) the characteristics of the products or services;</w:t>
      </w:r>
    </w:p>
    <w:p w14:paraId="15FA1468">
      <w:pPr>
        <w:spacing w:before="0" w:after="60"/>
        <w:ind w:left="720" w:hanging="363"/>
        <w:jc w:val="both"/>
      </w:pPr>
      <w:r>
        <w:rPr>
          <w:rFonts w:ascii="Times New Roman" w:hAnsi="Times New Roman" w:eastAsia="宋体"/>
          <w:b w:val="0"/>
          <w:i w:val="0"/>
          <w:color w:val="000000"/>
          <w:sz w:val="21"/>
        </w:rPr>
        <w:t>1) 拟生产的产品或提供的服务的特性；</w:t>
      </w:r>
    </w:p>
    <w:p w14:paraId="49523F0A">
      <w:pPr>
        <w:keepNext/>
        <w:spacing w:before="20" w:after="0"/>
        <w:ind w:left="720" w:hanging="363"/>
        <w:jc w:val="both"/>
      </w:pPr>
      <w:r>
        <w:rPr>
          <w:rFonts w:ascii="Times New Roman" w:hAnsi="Times New Roman" w:eastAsia="宋体"/>
          <w:b w:val="0"/>
          <w:i w:val="0"/>
          <w:color w:val="000000"/>
          <w:sz w:val="21"/>
        </w:rPr>
        <w:t>2) the activities to be performed;</w:t>
      </w:r>
    </w:p>
    <w:p w14:paraId="3290D751">
      <w:pPr>
        <w:spacing w:before="0" w:after="60"/>
        <w:ind w:left="720" w:hanging="363"/>
        <w:jc w:val="both"/>
      </w:pPr>
      <w:r>
        <w:rPr>
          <w:rFonts w:ascii="Times New Roman" w:hAnsi="Times New Roman" w:eastAsia="宋体"/>
          <w:b w:val="0"/>
          <w:i w:val="0"/>
          <w:color w:val="000000"/>
          <w:sz w:val="21"/>
        </w:rPr>
        <w:t>2) 拟实施的活动；</w:t>
      </w:r>
    </w:p>
    <w:p w14:paraId="625833A3">
      <w:pPr>
        <w:keepNext/>
        <w:spacing w:before="20" w:after="0"/>
        <w:ind w:left="720" w:hanging="363"/>
        <w:jc w:val="both"/>
      </w:pPr>
      <w:r>
        <w:rPr>
          <w:rFonts w:ascii="Times New Roman" w:hAnsi="Times New Roman" w:eastAsia="宋体"/>
          <w:b w:val="0"/>
          <w:i w:val="0"/>
          <w:color w:val="000000"/>
          <w:sz w:val="21"/>
        </w:rPr>
        <w:t>3) the results to be achieved;</w:t>
      </w:r>
    </w:p>
    <w:p w14:paraId="4E2F16E6">
      <w:pPr>
        <w:spacing w:before="0" w:after="60"/>
        <w:ind w:left="720" w:hanging="363"/>
        <w:jc w:val="both"/>
      </w:pPr>
      <w:r>
        <w:rPr>
          <w:rFonts w:ascii="Times New Roman" w:hAnsi="Times New Roman" w:eastAsia="宋体"/>
          <w:b w:val="0"/>
          <w:i w:val="0"/>
          <w:color w:val="000000"/>
          <w:sz w:val="21"/>
        </w:rPr>
        <w:t>3) 拟取得的结果；</w:t>
      </w:r>
    </w:p>
    <w:p w14:paraId="68A27980">
      <w:pPr>
        <w:keepNext/>
        <w:spacing w:before="20" w:after="0"/>
        <w:ind w:left="357" w:hanging="357"/>
        <w:jc w:val="both"/>
      </w:pPr>
      <w:r>
        <w:rPr>
          <w:rFonts w:ascii="Times New Roman" w:hAnsi="Times New Roman" w:eastAsia="宋体"/>
          <w:b w:val="0"/>
          <w:i w:val="0"/>
          <w:color w:val="000000"/>
          <w:sz w:val="21"/>
        </w:rPr>
        <w:t>b) the availability and use of suitable monitoring and measuring resources;</w:t>
      </w:r>
    </w:p>
    <w:p w14:paraId="0B9C7760">
      <w:pPr>
        <w:spacing w:before="0" w:after="60"/>
        <w:ind w:left="357" w:hanging="357"/>
        <w:jc w:val="both"/>
      </w:pPr>
      <w:r>
        <w:rPr>
          <w:rFonts w:ascii="Times New Roman" w:hAnsi="Times New Roman" w:eastAsia="宋体"/>
          <w:b w:val="0"/>
          <w:i w:val="0"/>
          <w:color w:val="000000"/>
          <w:sz w:val="21"/>
        </w:rPr>
        <w:t>b) 可获得并使用适宜的监视和测量资源；</w:t>
      </w:r>
    </w:p>
    <w:p w14:paraId="6C5CA10E">
      <w:pPr>
        <w:keepNext/>
        <w:spacing w:before="20" w:after="0"/>
        <w:ind w:left="357" w:hanging="357"/>
        <w:jc w:val="both"/>
      </w:pPr>
      <w:r>
        <w:rPr>
          <w:rFonts w:ascii="Times New Roman" w:hAnsi="Times New Roman" w:eastAsia="宋体"/>
          <w:b w:val="0"/>
          <w:i w:val="0"/>
          <w:color w:val="000000"/>
          <w:sz w:val="21"/>
        </w:rPr>
        <w:t>c) the implementation of monitoring and measurement activities at appropriate stages to verify that criteria for control of processes or their outputs, and acceptance criteria for products and services, have been met;</w:t>
      </w:r>
    </w:p>
    <w:p w14:paraId="7CF97D82">
      <w:pPr>
        <w:spacing w:before="0" w:after="60"/>
        <w:ind w:left="357" w:hanging="357"/>
        <w:jc w:val="both"/>
      </w:pPr>
      <w:r>
        <w:rPr>
          <w:rFonts w:ascii="Times New Roman" w:hAnsi="Times New Roman" w:eastAsia="宋体"/>
          <w:b w:val="0"/>
          <w:i w:val="0"/>
          <w:color w:val="000000"/>
          <w:sz w:val="21"/>
        </w:rPr>
        <w:t>c) 在适当的阶段实施监视和测量活动，以证实过程或其输出的控制准则以及产品和服务的接受准则已得到满足；</w:t>
      </w:r>
    </w:p>
    <w:p w14:paraId="091B471D">
      <w:pPr>
        <w:keepNext/>
        <w:spacing w:before="20" w:after="0"/>
        <w:ind w:left="357" w:hanging="357"/>
        <w:jc w:val="both"/>
      </w:pPr>
      <w:r>
        <w:rPr>
          <w:rFonts w:ascii="Times New Roman" w:hAnsi="Times New Roman" w:eastAsia="宋体"/>
          <w:b w:val="0"/>
          <w:i w:val="0"/>
          <w:color w:val="000000"/>
          <w:sz w:val="21"/>
        </w:rPr>
        <w:t>d) the use of suitable infrastructure and environment for the operation of processes;</w:t>
      </w:r>
    </w:p>
    <w:p w14:paraId="69D50D09">
      <w:pPr>
        <w:spacing w:before="0" w:after="60"/>
        <w:ind w:left="357" w:hanging="357"/>
        <w:jc w:val="both"/>
      </w:pPr>
      <w:r>
        <w:rPr>
          <w:rFonts w:ascii="Times New Roman" w:hAnsi="Times New Roman" w:eastAsia="宋体"/>
          <w:b w:val="0"/>
          <w:i w:val="0"/>
          <w:color w:val="000000"/>
          <w:sz w:val="21"/>
        </w:rPr>
        <w:t>d) 使用适宜的基础设施并保持适宜的过程运行环境；</w:t>
      </w:r>
    </w:p>
    <w:p w14:paraId="0EBBD686">
      <w:pPr>
        <w:keepNext/>
        <w:spacing w:before="20" w:after="0"/>
        <w:ind w:left="357" w:hanging="357"/>
        <w:jc w:val="both"/>
      </w:pPr>
      <w:r>
        <w:rPr>
          <w:rFonts w:ascii="Times New Roman" w:hAnsi="Times New Roman" w:eastAsia="宋体"/>
          <w:b w:val="0"/>
          <w:i w:val="0"/>
          <w:color w:val="000000"/>
          <w:sz w:val="21"/>
        </w:rPr>
        <w:t>e) the appointment of competent persons, including any required qualifications;</w:t>
      </w:r>
    </w:p>
    <w:p w14:paraId="6CC7BD01">
      <w:pPr>
        <w:spacing w:before="0" w:after="60"/>
        <w:ind w:left="357" w:hanging="357"/>
        <w:jc w:val="both"/>
      </w:pPr>
      <w:r>
        <w:rPr>
          <w:rFonts w:ascii="Times New Roman" w:hAnsi="Times New Roman" w:eastAsia="宋体"/>
          <w:b w:val="0"/>
          <w:i w:val="0"/>
          <w:color w:val="000000"/>
          <w:sz w:val="21"/>
        </w:rPr>
        <w:t>e) 任用具备能力的人员，包括任何所要求的资格；</w:t>
      </w:r>
    </w:p>
    <w:p w14:paraId="7932DA31">
      <w:pPr>
        <w:keepNext/>
        <w:spacing w:before="20" w:after="0"/>
        <w:ind w:left="357" w:hanging="357"/>
        <w:jc w:val="both"/>
      </w:pPr>
      <w:r>
        <w:rPr>
          <w:rFonts w:ascii="Times New Roman" w:hAnsi="Times New Roman" w:eastAsia="宋体"/>
          <w:b w:val="0"/>
          <w:i w:val="0"/>
          <w:color w:val="000000"/>
          <w:sz w:val="21"/>
        </w:rPr>
        <w:t>f) the validation, and periodic revalidation, of the ability to achieve planned results of the processes for production and service provision, where the resulting output cannot be verified by subsequent monitoring or measurement;</w:t>
      </w:r>
    </w:p>
    <w:p w14:paraId="2020C56B">
      <w:pPr>
        <w:spacing w:before="0" w:after="60"/>
        <w:ind w:left="357" w:hanging="357"/>
        <w:jc w:val="both"/>
      </w:pPr>
      <w:r>
        <w:rPr>
          <w:rFonts w:ascii="Times New Roman" w:hAnsi="Times New Roman" w:eastAsia="宋体"/>
          <w:b w:val="0"/>
          <w:i w:val="0"/>
          <w:color w:val="000000"/>
          <w:sz w:val="21"/>
        </w:rPr>
        <w:t>f) 当输出无法由后续的监视或测量加以验证时，对生产和服务提供过程实现策划结果的能力进行确认和定期再确认；</w:t>
      </w:r>
    </w:p>
    <w:p w14:paraId="18B10BD9">
      <w:pPr>
        <w:keepNext/>
        <w:spacing w:before="20" w:after="0"/>
        <w:ind w:left="357" w:hanging="357"/>
        <w:jc w:val="both"/>
      </w:pPr>
      <w:r>
        <w:rPr>
          <w:rFonts w:ascii="Times New Roman" w:hAnsi="Times New Roman" w:eastAsia="宋体"/>
          <w:b w:val="0"/>
          <w:i w:val="0"/>
          <w:color w:val="000000"/>
          <w:sz w:val="21"/>
        </w:rPr>
        <w:t>g) the implementation of actions to prevent human error;</w:t>
      </w:r>
    </w:p>
    <w:p w14:paraId="359F364C">
      <w:pPr>
        <w:spacing w:before="0" w:after="60"/>
        <w:ind w:left="357" w:hanging="357"/>
        <w:jc w:val="both"/>
      </w:pPr>
      <w:r>
        <w:rPr>
          <w:rFonts w:ascii="Times New Roman" w:hAnsi="Times New Roman" w:eastAsia="宋体"/>
          <w:b w:val="0"/>
          <w:i w:val="0"/>
          <w:color w:val="000000"/>
          <w:sz w:val="21"/>
        </w:rPr>
        <w:t>g) 实施防止人为错误的措施；</w:t>
      </w:r>
    </w:p>
    <w:p w14:paraId="4F354B1E">
      <w:pPr>
        <w:keepNext/>
        <w:spacing w:before="20" w:after="0"/>
        <w:ind w:left="357" w:hanging="357"/>
        <w:jc w:val="both"/>
      </w:pPr>
      <w:r>
        <w:rPr>
          <w:rFonts w:ascii="Times New Roman" w:hAnsi="Times New Roman" w:eastAsia="宋体"/>
          <w:b w:val="0"/>
          <w:i w:val="0"/>
          <w:color w:val="000000"/>
          <w:sz w:val="21"/>
        </w:rPr>
        <w:t>h) the implementation of release, delivery and post-delivery activities.</w:t>
      </w:r>
    </w:p>
    <w:p w14:paraId="15C6C9E3">
      <w:pPr>
        <w:spacing w:before="0" w:after="60"/>
        <w:ind w:left="357" w:hanging="357"/>
        <w:jc w:val="both"/>
      </w:pPr>
      <w:r>
        <w:rPr>
          <w:rFonts w:ascii="Times New Roman" w:hAnsi="Times New Roman" w:eastAsia="宋体"/>
          <w:b w:val="0"/>
          <w:i w:val="0"/>
          <w:color w:val="000000"/>
          <w:sz w:val="21"/>
        </w:rPr>
        <w:t>h) 实施放行、交付和交付后活动。</w:t>
      </w:r>
    </w:p>
    <w:p w14:paraId="69CCDF9B">
      <w:pPr>
        <w:keepNext/>
        <w:spacing w:before="200" w:after="0"/>
        <w:jc w:val="left"/>
      </w:pPr>
      <w:r>
        <w:rPr>
          <w:rFonts w:ascii="Times New Roman" w:hAnsi="Times New Roman" w:eastAsia="宋体"/>
          <w:b/>
          <w:i w:val="0"/>
          <w:color w:val="000000"/>
          <w:sz w:val="22"/>
        </w:rPr>
        <w:t>8.5.2  Identification and traceability</w:t>
      </w:r>
    </w:p>
    <w:p w14:paraId="3E77261D">
      <w:pPr>
        <w:spacing w:before="0" w:after="80"/>
        <w:jc w:val="left"/>
      </w:pPr>
      <w:r>
        <w:rPr>
          <w:rFonts w:ascii="Times New Roman" w:hAnsi="Times New Roman" w:eastAsia="黑体"/>
          <w:b w:val="0"/>
          <w:i w:val="0"/>
          <w:color w:val="000000"/>
          <w:sz w:val="22"/>
        </w:rPr>
        <w:t>8.5.2  标识和可追溯性</w:t>
      </w:r>
    </w:p>
    <w:p w14:paraId="5BA2AD51">
      <w:pPr>
        <w:keepNext/>
        <w:spacing w:before="60" w:after="0"/>
        <w:jc w:val="both"/>
      </w:pPr>
      <w:r>
        <w:rPr>
          <w:rFonts w:ascii="Times New Roman" w:hAnsi="Times New Roman" w:eastAsia="宋体"/>
          <w:b w:val="0"/>
          <w:i w:val="0"/>
          <w:color w:val="000000"/>
          <w:sz w:val="21"/>
        </w:rPr>
        <w:t>The organization shall:</w:t>
      </w:r>
    </w:p>
    <w:p w14:paraId="162E9498">
      <w:pPr>
        <w:spacing w:before="0" w:after="100"/>
        <w:jc w:val="both"/>
      </w:pPr>
      <w:r>
        <w:rPr>
          <w:rFonts w:ascii="Times New Roman" w:hAnsi="Times New Roman" w:eastAsia="宋体"/>
          <w:b w:val="0"/>
          <w:i w:val="0"/>
          <w:color w:val="000000"/>
          <w:sz w:val="21"/>
        </w:rPr>
        <w:t>组织应：</w:t>
      </w:r>
    </w:p>
    <w:p w14:paraId="487A52D0">
      <w:pPr>
        <w:keepNext/>
        <w:spacing w:before="20" w:after="0"/>
        <w:ind w:left="357" w:hanging="357"/>
        <w:jc w:val="both"/>
      </w:pPr>
      <w:r>
        <w:rPr>
          <w:rFonts w:ascii="Times New Roman" w:hAnsi="Times New Roman" w:eastAsia="宋体"/>
          <w:b w:val="0"/>
          <w:i w:val="0"/>
          <w:color w:val="000000"/>
          <w:sz w:val="21"/>
        </w:rPr>
        <w:t>a) use suitable means to identify outputs when it is necessary to ensure the conformity of products and services;</w:t>
      </w:r>
    </w:p>
    <w:p w14:paraId="795998E5">
      <w:pPr>
        <w:spacing w:before="0" w:after="60"/>
        <w:ind w:left="357" w:hanging="357"/>
        <w:jc w:val="both"/>
      </w:pPr>
      <w:r>
        <w:rPr>
          <w:rFonts w:ascii="Times New Roman" w:hAnsi="Times New Roman" w:eastAsia="宋体"/>
          <w:b w:val="0"/>
          <w:i w:val="0"/>
          <w:color w:val="000000"/>
          <w:sz w:val="21"/>
        </w:rPr>
        <w:t>a) 当需要确保产品和服务合格时，采用适宜的方法识别输出；</w:t>
      </w:r>
    </w:p>
    <w:p w14:paraId="405FB30E">
      <w:pPr>
        <w:keepNext/>
        <w:spacing w:before="20" w:after="0"/>
        <w:ind w:left="357" w:hanging="357"/>
        <w:jc w:val="both"/>
      </w:pPr>
      <w:r>
        <w:rPr>
          <w:rFonts w:ascii="Times New Roman" w:hAnsi="Times New Roman" w:eastAsia="宋体"/>
          <w:b w:val="0"/>
          <w:i w:val="0"/>
          <w:color w:val="000000"/>
          <w:sz w:val="21"/>
        </w:rPr>
        <w:t>b) identify the status of outputs with respect to monitoring and measurement requirements throughout production and service provision;</w:t>
      </w:r>
    </w:p>
    <w:p w14:paraId="657676B2">
      <w:pPr>
        <w:spacing w:before="0" w:after="60"/>
        <w:ind w:left="357" w:hanging="357"/>
        <w:jc w:val="both"/>
      </w:pPr>
      <w:r>
        <w:rPr>
          <w:rFonts w:ascii="Times New Roman" w:hAnsi="Times New Roman" w:eastAsia="宋体"/>
          <w:b w:val="0"/>
          <w:i w:val="0"/>
          <w:color w:val="000000"/>
          <w:sz w:val="21"/>
        </w:rPr>
        <w:t>b) 在生产和服务提供的全过程中，按照监视和测量的要求识别输出的状态；</w:t>
      </w:r>
    </w:p>
    <w:p w14:paraId="70B7BDB2">
      <w:pPr>
        <w:keepNext/>
        <w:spacing w:before="20" w:after="0"/>
        <w:ind w:left="357" w:hanging="357"/>
        <w:jc w:val="both"/>
      </w:pPr>
      <w:r>
        <w:rPr>
          <w:rFonts w:ascii="Times New Roman" w:hAnsi="Times New Roman" w:eastAsia="宋体"/>
          <w:b w:val="0"/>
          <w:i w:val="0"/>
          <w:color w:val="000000"/>
          <w:sz w:val="21"/>
        </w:rPr>
        <w:t>c) control the unique identification of the outputs when traceability is a requirement;</w:t>
      </w:r>
    </w:p>
    <w:p w14:paraId="620D375B">
      <w:pPr>
        <w:spacing w:before="0" w:after="60"/>
        <w:ind w:left="357" w:hanging="357"/>
        <w:jc w:val="both"/>
      </w:pPr>
      <w:r>
        <w:rPr>
          <w:rFonts w:ascii="Times New Roman" w:hAnsi="Times New Roman" w:eastAsia="宋体"/>
          <w:b w:val="0"/>
          <w:i w:val="0"/>
          <w:color w:val="000000"/>
          <w:sz w:val="21"/>
        </w:rPr>
        <w:t>c) 当可追溯性是一项要求时，控制输出的唯一性标识；</w:t>
      </w:r>
    </w:p>
    <w:p w14:paraId="661DC9A2">
      <w:pPr>
        <w:keepNext/>
        <w:spacing w:before="20" w:after="0"/>
        <w:ind w:left="357" w:hanging="357"/>
        <w:jc w:val="both"/>
      </w:pPr>
      <w:r>
        <w:rPr>
          <w:rFonts w:ascii="Times New Roman" w:hAnsi="Times New Roman" w:eastAsia="宋体"/>
          <w:b w:val="0"/>
          <w:i w:val="0"/>
          <w:color w:val="000000"/>
          <w:sz w:val="21"/>
        </w:rPr>
        <w:t>d) ensure that documented information necessary to enable traceability is available as evidence.</w:t>
      </w:r>
    </w:p>
    <w:p w14:paraId="51738BE8">
      <w:pPr>
        <w:spacing w:before="0" w:after="60"/>
        <w:ind w:left="357" w:hanging="357"/>
        <w:jc w:val="both"/>
      </w:pPr>
      <w:r>
        <w:rPr>
          <w:rFonts w:ascii="Times New Roman" w:hAnsi="Times New Roman" w:eastAsia="宋体"/>
          <w:b w:val="0"/>
          <w:i w:val="0"/>
          <w:color w:val="000000"/>
          <w:sz w:val="21"/>
        </w:rPr>
        <w:t>d) 确保为实现可追溯性所需的成文信息作为证据可获得。</w:t>
      </w:r>
    </w:p>
    <w:p w14:paraId="4A57C7C6">
      <w:pPr>
        <w:keepNext/>
        <w:spacing w:before="200" w:after="0"/>
        <w:jc w:val="left"/>
      </w:pPr>
      <w:r>
        <w:rPr>
          <w:rFonts w:ascii="Times New Roman" w:hAnsi="Times New Roman" w:eastAsia="宋体"/>
          <w:b/>
          <w:i w:val="0"/>
          <w:color w:val="000000"/>
          <w:sz w:val="22"/>
        </w:rPr>
        <w:t>8.5.3  Property belonging to customers or external providers</w:t>
      </w:r>
    </w:p>
    <w:p w14:paraId="6A65D796">
      <w:pPr>
        <w:spacing w:before="0" w:after="80"/>
        <w:jc w:val="left"/>
      </w:pPr>
      <w:r>
        <w:rPr>
          <w:rFonts w:ascii="Times New Roman" w:hAnsi="Times New Roman" w:eastAsia="黑体"/>
          <w:b w:val="0"/>
          <w:i w:val="0"/>
          <w:color w:val="000000"/>
          <w:sz w:val="22"/>
        </w:rPr>
        <w:t>8.5.3  顾客或外部供方的财产</w:t>
      </w:r>
    </w:p>
    <w:p w14:paraId="773E3A56">
      <w:pPr>
        <w:keepNext/>
        <w:spacing w:before="60" w:after="0"/>
        <w:jc w:val="both"/>
      </w:pPr>
      <w:r>
        <w:rPr>
          <w:rFonts w:ascii="Times New Roman" w:hAnsi="Times New Roman" w:eastAsia="宋体"/>
          <w:b w:val="0"/>
          <w:i w:val="0"/>
          <w:color w:val="000000"/>
          <w:sz w:val="21"/>
        </w:rPr>
        <w:t>The organization shall exercise care with property belonging to customers or external providers while it is under the organization's control or being used by the organization.</w:t>
      </w:r>
    </w:p>
    <w:p w14:paraId="6789B16F">
      <w:pPr>
        <w:spacing w:before="0" w:after="100"/>
        <w:jc w:val="both"/>
      </w:pPr>
      <w:r>
        <w:rPr>
          <w:rFonts w:ascii="Times New Roman" w:hAnsi="Times New Roman" w:eastAsia="宋体"/>
          <w:b w:val="0"/>
          <w:i w:val="0"/>
          <w:color w:val="000000"/>
          <w:sz w:val="21"/>
        </w:rPr>
        <w:t>当顾客或外部供方的财产处于组织的控制之下或被组织使用时，组织应予以妥善照管。</w:t>
      </w:r>
    </w:p>
    <w:p w14:paraId="7E637D2E">
      <w:pPr>
        <w:keepNext/>
        <w:spacing w:before="60" w:after="0"/>
        <w:jc w:val="both"/>
      </w:pPr>
      <w:r>
        <w:rPr>
          <w:rFonts w:ascii="Times New Roman" w:hAnsi="Times New Roman" w:eastAsia="宋体"/>
          <w:b w:val="0"/>
          <w:i w:val="0"/>
          <w:color w:val="000000"/>
          <w:sz w:val="21"/>
        </w:rPr>
        <w:t>The organization shall identify, verify, protect and safeguard property belonging to customers or external providers that is provided for use or incorporation into the products and services.</w:t>
      </w:r>
    </w:p>
    <w:p w14:paraId="77CE2206">
      <w:pPr>
        <w:spacing w:before="0" w:after="100"/>
        <w:jc w:val="both"/>
      </w:pPr>
      <w:r>
        <w:rPr>
          <w:rFonts w:ascii="Times New Roman" w:hAnsi="Times New Roman" w:eastAsia="宋体"/>
          <w:b w:val="0"/>
          <w:i w:val="0"/>
          <w:color w:val="000000"/>
          <w:sz w:val="21"/>
        </w:rPr>
        <w:t>组织应对顾客或外部供方提供的、供使用或拟并入产品和服务中的财产予以标识、验证、防护和保管。</w:t>
      </w:r>
    </w:p>
    <w:p w14:paraId="56EC304C">
      <w:pPr>
        <w:keepNext/>
        <w:spacing w:before="60" w:after="0"/>
        <w:jc w:val="both"/>
      </w:pPr>
      <w:r>
        <w:rPr>
          <w:rFonts w:ascii="Times New Roman" w:hAnsi="Times New Roman" w:eastAsia="宋体"/>
          <w:b w:val="0"/>
          <w:i w:val="0"/>
          <w:color w:val="000000"/>
          <w:sz w:val="21"/>
        </w:rPr>
        <w:t>When the property belonging to a customer or external provider is lost, damaged or otherwise found to be unsuitable for use, the organization shall report this to the customer or external provider. Documented information shall be available as evidence of what has occurred.</w:t>
      </w:r>
    </w:p>
    <w:p w14:paraId="63D947E8">
      <w:pPr>
        <w:spacing w:before="0" w:after="100"/>
        <w:jc w:val="both"/>
      </w:pPr>
      <w:r>
        <w:rPr>
          <w:rFonts w:ascii="Times New Roman" w:hAnsi="Times New Roman" w:eastAsia="宋体"/>
          <w:b w:val="0"/>
          <w:i w:val="0"/>
          <w:color w:val="000000"/>
          <w:sz w:val="21"/>
        </w:rPr>
        <w:t>当顾客或外部供方的财产发生丢失、损坏或其他不适宜使用的情况时，组织应向顾客或外部供方报告，并保留作为所发生情况证据的成文信息。</w:t>
      </w:r>
    </w:p>
    <w:p w14:paraId="6DCF1577">
      <w:pPr>
        <w:keepNext/>
        <w:spacing w:before="20" w:after="0"/>
        <w:ind w:left="227"/>
        <w:jc w:val="both"/>
      </w:pPr>
      <w:r>
        <w:rPr>
          <w:rFonts w:ascii="Times New Roman" w:hAnsi="Times New Roman" w:eastAsia="宋体"/>
          <w:b w:val="0"/>
          <w:i/>
          <w:color w:val="000000"/>
          <w:sz w:val="20"/>
        </w:rPr>
        <w:t>NOTE — Property belonging to a customer or external provider can include materials, components, tools and equipment, premises, intellectual property and personal data.</w:t>
      </w:r>
    </w:p>
    <w:p w14:paraId="566080AD">
      <w:pPr>
        <w:spacing w:before="0" w:after="100"/>
        <w:ind w:left="227"/>
        <w:jc w:val="both"/>
      </w:pPr>
      <w:r>
        <w:rPr>
          <w:rFonts w:ascii="Times New Roman" w:hAnsi="Times New Roman" w:eastAsia="宋体"/>
          <w:b w:val="0"/>
          <w:i w:val="0"/>
          <w:color w:val="000000"/>
          <w:sz w:val="20"/>
        </w:rPr>
        <w:t>注：顾客或外部供方的财产可包括材料、零部件、工具和设备、场所、知识产权以及个人数据。</w:t>
      </w:r>
    </w:p>
    <w:p w14:paraId="06C3B8C2">
      <w:pPr>
        <w:keepNext/>
        <w:spacing w:before="200" w:after="0"/>
        <w:jc w:val="left"/>
      </w:pPr>
      <w:r>
        <w:rPr>
          <w:rFonts w:ascii="Times New Roman" w:hAnsi="Times New Roman" w:eastAsia="宋体"/>
          <w:b/>
          <w:i w:val="0"/>
          <w:color w:val="000000"/>
          <w:sz w:val="22"/>
        </w:rPr>
        <w:t>8.5.4  Preservation</w:t>
      </w:r>
    </w:p>
    <w:p w14:paraId="3D0F7A89">
      <w:pPr>
        <w:spacing w:before="0" w:after="80"/>
        <w:jc w:val="left"/>
      </w:pPr>
      <w:r>
        <w:rPr>
          <w:rFonts w:ascii="Times New Roman" w:hAnsi="Times New Roman" w:eastAsia="黑体"/>
          <w:b w:val="0"/>
          <w:i w:val="0"/>
          <w:color w:val="000000"/>
          <w:sz w:val="22"/>
        </w:rPr>
        <w:t>8.5.4  防护</w:t>
      </w:r>
    </w:p>
    <w:p w14:paraId="24EEA72B">
      <w:pPr>
        <w:keepNext/>
        <w:spacing w:before="60" w:after="0"/>
        <w:jc w:val="both"/>
      </w:pPr>
      <w:r>
        <w:rPr>
          <w:rFonts w:ascii="Times New Roman" w:hAnsi="Times New Roman" w:eastAsia="宋体"/>
          <w:b w:val="0"/>
          <w:i w:val="0"/>
          <w:color w:val="000000"/>
          <w:sz w:val="21"/>
        </w:rPr>
        <w:t>The organization shall preserve the outputs during production and service provision, to the extent necessary to ensure conformity to requirements.</w:t>
      </w:r>
    </w:p>
    <w:p w14:paraId="4301F155">
      <w:pPr>
        <w:spacing w:before="0" w:after="100"/>
        <w:jc w:val="both"/>
      </w:pPr>
      <w:r>
        <w:rPr>
          <w:rFonts w:ascii="Times New Roman" w:hAnsi="Times New Roman" w:eastAsia="宋体"/>
          <w:b w:val="0"/>
          <w:i w:val="0"/>
          <w:color w:val="000000"/>
          <w:sz w:val="21"/>
        </w:rPr>
        <w:t>组织应在生产和服务提供期间对输出实施必要的防护，以确保符合要求。</w:t>
      </w:r>
    </w:p>
    <w:p w14:paraId="5C9D38D8">
      <w:pPr>
        <w:keepNext/>
        <w:spacing w:before="20" w:after="0"/>
        <w:ind w:left="227"/>
        <w:jc w:val="both"/>
      </w:pPr>
      <w:r>
        <w:rPr>
          <w:rFonts w:ascii="Times New Roman" w:hAnsi="Times New Roman" w:eastAsia="宋体"/>
          <w:b w:val="0"/>
          <w:i/>
          <w:color w:val="000000"/>
          <w:sz w:val="20"/>
        </w:rPr>
        <w:t>NOTE — Preservation can include identification, handling, contamination control, packaging, storage, transmission or transportation, and protection.</w:t>
      </w:r>
    </w:p>
    <w:p w14:paraId="75EB9D79">
      <w:pPr>
        <w:spacing w:before="0" w:after="100"/>
        <w:ind w:left="227"/>
        <w:jc w:val="both"/>
      </w:pPr>
      <w:r>
        <w:rPr>
          <w:rFonts w:ascii="Times New Roman" w:hAnsi="Times New Roman" w:eastAsia="宋体"/>
          <w:b w:val="0"/>
          <w:i w:val="0"/>
          <w:color w:val="000000"/>
          <w:sz w:val="20"/>
        </w:rPr>
        <w:t>注：防护可包括标识、搬运、污染控制、包装、储存、传输或运输以及保护。</w:t>
      </w:r>
    </w:p>
    <w:p w14:paraId="7BE4C7AF">
      <w:pPr>
        <w:keepNext/>
        <w:spacing w:before="200" w:after="0"/>
        <w:jc w:val="left"/>
      </w:pPr>
      <w:r>
        <w:rPr>
          <w:rFonts w:ascii="Times New Roman" w:hAnsi="Times New Roman" w:eastAsia="宋体"/>
          <w:b/>
          <w:i w:val="0"/>
          <w:color w:val="000000"/>
          <w:sz w:val="22"/>
        </w:rPr>
        <w:t>8.5.5  Post-delivery activities</w:t>
      </w:r>
    </w:p>
    <w:p w14:paraId="191AA2B5">
      <w:pPr>
        <w:spacing w:before="0" w:after="80"/>
        <w:jc w:val="left"/>
      </w:pPr>
      <w:r>
        <w:rPr>
          <w:rFonts w:ascii="Times New Roman" w:hAnsi="Times New Roman" w:eastAsia="黑体"/>
          <w:b w:val="0"/>
          <w:i w:val="0"/>
          <w:color w:val="000000"/>
          <w:sz w:val="22"/>
        </w:rPr>
        <w:t>8.5.5  交付后活动</w:t>
      </w:r>
    </w:p>
    <w:p w14:paraId="4AE83739">
      <w:pPr>
        <w:keepNext/>
        <w:spacing w:before="60" w:after="0"/>
        <w:jc w:val="both"/>
      </w:pPr>
      <w:r>
        <w:rPr>
          <w:rFonts w:ascii="Times New Roman" w:hAnsi="Times New Roman" w:eastAsia="宋体"/>
          <w:b w:val="0"/>
          <w:i w:val="0"/>
          <w:color w:val="000000"/>
          <w:sz w:val="21"/>
        </w:rPr>
        <w:t>The organization shall meet the requirements for post-delivery activities associated with the products and services.</w:t>
      </w:r>
    </w:p>
    <w:p w14:paraId="0DA6F264">
      <w:pPr>
        <w:spacing w:before="0" w:after="100"/>
        <w:jc w:val="both"/>
      </w:pPr>
      <w:r>
        <w:rPr>
          <w:rFonts w:ascii="Times New Roman" w:hAnsi="Times New Roman" w:eastAsia="宋体"/>
          <w:b w:val="0"/>
          <w:i w:val="0"/>
          <w:color w:val="000000"/>
          <w:sz w:val="21"/>
        </w:rPr>
        <w:t>组织应满足与产品和服务相关的交付后活动的要求。</w:t>
      </w:r>
    </w:p>
    <w:p w14:paraId="45C00B59">
      <w:pPr>
        <w:keepNext/>
        <w:spacing w:before="60" w:after="0"/>
        <w:jc w:val="both"/>
      </w:pPr>
      <w:r>
        <w:rPr>
          <w:rFonts w:ascii="Times New Roman" w:hAnsi="Times New Roman" w:eastAsia="宋体"/>
          <w:b w:val="0"/>
          <w:i w:val="0"/>
          <w:color w:val="000000"/>
          <w:sz w:val="21"/>
        </w:rPr>
        <w:t>In determining the extent of post-delivery activities that are required, the organization shall consider:</w:t>
      </w:r>
    </w:p>
    <w:p w14:paraId="1D7A44C2">
      <w:pPr>
        <w:spacing w:before="0" w:after="100"/>
        <w:jc w:val="both"/>
      </w:pPr>
      <w:r>
        <w:rPr>
          <w:rFonts w:ascii="Times New Roman" w:hAnsi="Times New Roman" w:eastAsia="宋体"/>
          <w:b w:val="0"/>
          <w:i w:val="0"/>
          <w:color w:val="000000"/>
          <w:sz w:val="21"/>
        </w:rPr>
        <w:t>在确定交付后活动所需的覆盖范围和程度时，组织应考虑：</w:t>
      </w:r>
    </w:p>
    <w:p w14:paraId="523C2069">
      <w:pPr>
        <w:keepNext/>
        <w:spacing w:before="20" w:after="0"/>
        <w:ind w:left="357" w:hanging="357"/>
        <w:jc w:val="both"/>
      </w:pPr>
      <w:r>
        <w:rPr>
          <w:rFonts w:ascii="Times New Roman" w:hAnsi="Times New Roman" w:eastAsia="宋体"/>
          <w:b w:val="0"/>
          <w:i w:val="0"/>
          <w:color w:val="000000"/>
          <w:sz w:val="21"/>
        </w:rPr>
        <w:t>a) statutory and regulatory requirements;</w:t>
      </w:r>
    </w:p>
    <w:p w14:paraId="0D4DD924">
      <w:pPr>
        <w:spacing w:before="0" w:after="60"/>
        <w:ind w:left="357" w:hanging="357"/>
        <w:jc w:val="both"/>
      </w:pPr>
      <w:r>
        <w:rPr>
          <w:rFonts w:ascii="Times New Roman" w:hAnsi="Times New Roman" w:eastAsia="宋体"/>
          <w:b w:val="0"/>
          <w:i w:val="0"/>
          <w:color w:val="000000"/>
          <w:sz w:val="21"/>
        </w:rPr>
        <w:t>a) 法律法规要求；</w:t>
      </w:r>
    </w:p>
    <w:p w14:paraId="059320C1">
      <w:pPr>
        <w:keepNext/>
        <w:spacing w:before="20" w:after="0"/>
        <w:ind w:left="357" w:hanging="357"/>
        <w:jc w:val="both"/>
      </w:pPr>
      <w:r>
        <w:rPr>
          <w:rFonts w:ascii="Times New Roman" w:hAnsi="Times New Roman" w:eastAsia="宋体"/>
          <w:b w:val="0"/>
          <w:i w:val="0"/>
          <w:color w:val="000000"/>
          <w:sz w:val="21"/>
        </w:rPr>
        <w:t>b) the potential undesired consequences associated with its products and services;</w:t>
      </w:r>
    </w:p>
    <w:p w14:paraId="745E0E67">
      <w:pPr>
        <w:spacing w:before="0" w:after="60"/>
        <w:ind w:left="357" w:hanging="357"/>
        <w:jc w:val="both"/>
      </w:pPr>
      <w:r>
        <w:rPr>
          <w:rFonts w:ascii="Times New Roman" w:hAnsi="Times New Roman" w:eastAsia="宋体"/>
          <w:b w:val="0"/>
          <w:i w:val="0"/>
          <w:color w:val="000000"/>
          <w:sz w:val="21"/>
        </w:rPr>
        <w:t>b) 与其产品和服务相关的潜在不良后果；</w:t>
      </w:r>
    </w:p>
    <w:p w14:paraId="29EFDBD6">
      <w:pPr>
        <w:keepNext/>
        <w:spacing w:before="20" w:after="0"/>
        <w:ind w:left="357" w:hanging="357"/>
        <w:jc w:val="both"/>
      </w:pPr>
      <w:r>
        <w:rPr>
          <w:rFonts w:ascii="Times New Roman" w:hAnsi="Times New Roman" w:eastAsia="宋体"/>
          <w:b w:val="0"/>
          <w:i w:val="0"/>
          <w:color w:val="000000"/>
          <w:sz w:val="21"/>
        </w:rPr>
        <w:t>c) the nature, use and intended lifetime of its products and services;</w:t>
      </w:r>
    </w:p>
    <w:p w14:paraId="65E80590">
      <w:pPr>
        <w:spacing w:before="0" w:after="60"/>
        <w:ind w:left="357" w:hanging="357"/>
        <w:jc w:val="both"/>
      </w:pPr>
      <w:r>
        <w:rPr>
          <w:rFonts w:ascii="Times New Roman" w:hAnsi="Times New Roman" w:eastAsia="宋体"/>
          <w:b w:val="0"/>
          <w:i w:val="0"/>
          <w:color w:val="000000"/>
          <w:sz w:val="21"/>
        </w:rPr>
        <w:t>c) 其产品和服务的性质、用途和预期寿命；</w:t>
      </w:r>
    </w:p>
    <w:p w14:paraId="5E873745">
      <w:pPr>
        <w:keepNext/>
        <w:spacing w:before="20" w:after="0"/>
        <w:ind w:left="357" w:hanging="357"/>
        <w:jc w:val="both"/>
      </w:pPr>
      <w:r>
        <w:rPr>
          <w:rFonts w:ascii="Times New Roman" w:hAnsi="Times New Roman" w:eastAsia="宋体"/>
          <w:b w:val="0"/>
          <w:i w:val="0"/>
          <w:color w:val="000000"/>
          <w:sz w:val="21"/>
        </w:rPr>
        <w:t>d) customer requirements;</w:t>
      </w:r>
    </w:p>
    <w:p w14:paraId="3D154894">
      <w:pPr>
        <w:spacing w:before="0" w:after="60"/>
        <w:ind w:left="357" w:hanging="357"/>
        <w:jc w:val="both"/>
      </w:pPr>
      <w:r>
        <w:rPr>
          <w:rFonts w:ascii="Times New Roman" w:hAnsi="Times New Roman" w:eastAsia="宋体"/>
          <w:b w:val="0"/>
          <w:i w:val="0"/>
          <w:color w:val="000000"/>
          <w:sz w:val="21"/>
        </w:rPr>
        <w:t>d) 顾客要求；</w:t>
      </w:r>
    </w:p>
    <w:p w14:paraId="0AF76BC5">
      <w:pPr>
        <w:keepNext/>
        <w:spacing w:before="20" w:after="0"/>
        <w:ind w:left="357" w:hanging="357"/>
        <w:jc w:val="both"/>
      </w:pPr>
      <w:r>
        <w:rPr>
          <w:rFonts w:ascii="Times New Roman" w:hAnsi="Times New Roman" w:eastAsia="宋体"/>
          <w:b w:val="0"/>
          <w:i w:val="0"/>
          <w:color w:val="000000"/>
          <w:sz w:val="21"/>
        </w:rPr>
        <w:t>e) customer feedback.</w:t>
      </w:r>
    </w:p>
    <w:p w14:paraId="04ED97AD">
      <w:pPr>
        <w:spacing w:before="0" w:after="60"/>
        <w:ind w:left="357" w:hanging="357"/>
        <w:jc w:val="both"/>
      </w:pPr>
      <w:r>
        <w:rPr>
          <w:rFonts w:ascii="Times New Roman" w:hAnsi="Times New Roman" w:eastAsia="宋体"/>
          <w:b w:val="0"/>
          <w:i w:val="0"/>
          <w:color w:val="000000"/>
          <w:sz w:val="21"/>
        </w:rPr>
        <w:t>e) 顾客反馈。</w:t>
      </w:r>
    </w:p>
    <w:p w14:paraId="60218C45">
      <w:pPr>
        <w:keepNext/>
        <w:spacing w:before="20" w:after="0"/>
        <w:ind w:left="227"/>
        <w:jc w:val="both"/>
      </w:pPr>
      <w:r>
        <w:rPr>
          <w:rFonts w:ascii="Times New Roman" w:hAnsi="Times New Roman" w:eastAsia="宋体"/>
          <w:b w:val="0"/>
          <w:i/>
          <w:color w:val="000000"/>
          <w:sz w:val="20"/>
        </w:rPr>
        <w:t>NOTE — Post-delivery activities can include actions under warranty provisions, contractual obligations such as maintenance services, and supplementary services such as recycling or final disposal.</w:t>
      </w:r>
    </w:p>
    <w:p w14:paraId="4364E351">
      <w:pPr>
        <w:spacing w:before="0" w:after="100"/>
        <w:ind w:left="227"/>
        <w:jc w:val="both"/>
      </w:pPr>
      <w:r>
        <w:rPr>
          <w:rFonts w:ascii="Times New Roman" w:hAnsi="Times New Roman" w:eastAsia="宋体"/>
          <w:b w:val="0"/>
          <w:i w:val="0"/>
          <w:color w:val="000000"/>
          <w:sz w:val="20"/>
        </w:rPr>
        <w:t>注：交付后活动可包括保修条款下的措施、诸如维护服务之类的合同义务，以及诸如回收或最终处置之类的附加服务。</w:t>
      </w:r>
    </w:p>
    <w:p w14:paraId="11FF35A5">
      <w:pPr>
        <w:keepNext/>
        <w:spacing w:before="200" w:after="0"/>
        <w:jc w:val="left"/>
      </w:pPr>
      <w:r>
        <w:rPr>
          <w:rFonts w:ascii="Times New Roman" w:hAnsi="Times New Roman" w:eastAsia="宋体"/>
          <w:b/>
          <w:i w:val="0"/>
          <w:color w:val="000000"/>
          <w:sz w:val="22"/>
        </w:rPr>
        <w:t>8.5.6  Control of changes</w:t>
      </w:r>
    </w:p>
    <w:p w14:paraId="52911B46">
      <w:pPr>
        <w:spacing w:before="0" w:after="80"/>
        <w:jc w:val="left"/>
      </w:pPr>
      <w:r>
        <w:rPr>
          <w:rFonts w:ascii="Times New Roman" w:hAnsi="Times New Roman" w:eastAsia="黑体"/>
          <w:b w:val="0"/>
          <w:i w:val="0"/>
          <w:color w:val="000000"/>
          <w:sz w:val="22"/>
        </w:rPr>
        <w:t>8.5.6  变更控制</w:t>
      </w:r>
    </w:p>
    <w:p w14:paraId="269D48D2">
      <w:pPr>
        <w:keepNext/>
        <w:spacing w:before="60" w:after="0"/>
        <w:jc w:val="both"/>
      </w:pPr>
      <w:r>
        <w:rPr>
          <w:rFonts w:ascii="Times New Roman" w:hAnsi="Times New Roman" w:eastAsia="宋体"/>
          <w:b w:val="0"/>
          <w:i w:val="0"/>
          <w:color w:val="000000"/>
          <w:sz w:val="21"/>
        </w:rPr>
        <w:t>The organization shall review and control changes for production or service provision, to the extent necessary to ensure continuing conformity to requirements.</w:t>
      </w:r>
    </w:p>
    <w:p w14:paraId="0E29E931">
      <w:pPr>
        <w:spacing w:before="0" w:after="100"/>
        <w:jc w:val="both"/>
      </w:pPr>
      <w:r>
        <w:rPr>
          <w:rFonts w:ascii="Times New Roman" w:hAnsi="Times New Roman" w:eastAsia="宋体"/>
          <w:b w:val="0"/>
          <w:i w:val="0"/>
          <w:color w:val="000000"/>
          <w:sz w:val="21"/>
        </w:rPr>
        <w:t>组织应对生产或服务提供的变更进行必要的评审和控制，以确保持续符合要求。</w:t>
      </w:r>
    </w:p>
    <w:p w14:paraId="20E6B7BE">
      <w:pPr>
        <w:keepNext/>
        <w:spacing w:before="60" w:after="0"/>
        <w:jc w:val="both"/>
      </w:pPr>
      <w:r>
        <w:rPr>
          <w:rFonts w:ascii="Times New Roman" w:hAnsi="Times New Roman" w:eastAsia="宋体"/>
          <w:b w:val="0"/>
          <w:i w:val="0"/>
          <w:color w:val="000000"/>
          <w:sz w:val="21"/>
        </w:rPr>
        <w:t>Documented information shall be available as evidence of the results of the review of changes, the person(s) authorizing the change and any necessary actions arising from the review.</w:t>
      </w:r>
    </w:p>
    <w:p w14:paraId="2C7C60A9">
      <w:pPr>
        <w:spacing w:before="0" w:after="100"/>
        <w:jc w:val="both"/>
      </w:pPr>
      <w:r>
        <w:rPr>
          <w:rFonts w:ascii="Times New Roman" w:hAnsi="Times New Roman" w:eastAsia="宋体"/>
          <w:b w:val="0"/>
          <w:i w:val="0"/>
          <w:color w:val="000000"/>
          <w:sz w:val="21"/>
        </w:rPr>
        <w:t>应可获得成文信息，作为变更评审结果、变更授权人员以及评审所引发的任何必要措施的证据。</w:t>
      </w:r>
    </w:p>
    <w:p w14:paraId="78113014">
      <w:pPr>
        <w:keepNext/>
        <w:spacing w:before="240" w:after="0"/>
        <w:jc w:val="left"/>
      </w:pPr>
      <w:r>
        <w:rPr>
          <w:rFonts w:ascii="Times New Roman" w:hAnsi="Times New Roman" w:eastAsia="宋体"/>
          <w:b/>
          <w:i w:val="0"/>
          <w:color w:val="000000"/>
          <w:sz w:val="24"/>
        </w:rPr>
        <w:t>8.6  Release of products and services</w:t>
      </w:r>
    </w:p>
    <w:p w14:paraId="784F7D87">
      <w:pPr>
        <w:spacing w:before="0" w:after="80"/>
        <w:jc w:val="left"/>
      </w:pPr>
      <w:r>
        <w:rPr>
          <w:rFonts w:ascii="Times New Roman" w:hAnsi="Times New Roman" w:eastAsia="黑体"/>
          <w:b w:val="0"/>
          <w:i w:val="0"/>
          <w:color w:val="000000"/>
          <w:sz w:val="24"/>
        </w:rPr>
        <w:t>8.6  产品和服务的放行</w:t>
      </w:r>
    </w:p>
    <w:p w14:paraId="79D1B05E">
      <w:pPr>
        <w:keepNext/>
        <w:spacing w:before="60" w:after="0"/>
        <w:jc w:val="both"/>
      </w:pPr>
      <w:r>
        <w:rPr>
          <w:rFonts w:ascii="Times New Roman" w:hAnsi="Times New Roman" w:eastAsia="宋体"/>
          <w:b w:val="0"/>
          <w:i w:val="0"/>
          <w:color w:val="000000"/>
          <w:sz w:val="21"/>
        </w:rPr>
        <w:t>The organization shall implement planned arrangements, at appropriate stages, to verify that the product and service requirements have been met.</w:t>
      </w:r>
    </w:p>
    <w:p w14:paraId="2ABFA2F2">
      <w:pPr>
        <w:spacing w:before="0" w:after="100"/>
        <w:jc w:val="both"/>
      </w:pPr>
      <w:r>
        <w:rPr>
          <w:rFonts w:ascii="Times New Roman" w:hAnsi="Times New Roman" w:eastAsia="宋体"/>
          <w:b w:val="0"/>
          <w:i w:val="0"/>
          <w:color w:val="000000"/>
          <w:sz w:val="21"/>
        </w:rPr>
        <w:t>组织应在适当的阶段实施策划的安排，以验证产品和服务的要求已得到满足。</w:t>
      </w:r>
    </w:p>
    <w:p w14:paraId="7B459E71">
      <w:pPr>
        <w:keepNext/>
        <w:spacing w:before="60" w:after="0"/>
        <w:jc w:val="both"/>
      </w:pPr>
      <w:r>
        <w:rPr>
          <w:rFonts w:ascii="Times New Roman" w:hAnsi="Times New Roman" w:eastAsia="宋体"/>
          <w:b w:val="0"/>
          <w:i w:val="0"/>
          <w:color w:val="000000"/>
          <w:sz w:val="21"/>
        </w:rPr>
        <w:t>The release of products and services to the customer shall not proceed until the planned arrangements have been satisfactorily completed, unless otherwise approved by a relevant authority and, as applicable, by the customer.</w:t>
      </w:r>
    </w:p>
    <w:p w14:paraId="53456113">
      <w:pPr>
        <w:spacing w:before="0" w:after="100"/>
        <w:jc w:val="both"/>
      </w:pPr>
      <w:r>
        <w:rPr>
          <w:rFonts w:ascii="Times New Roman" w:hAnsi="Times New Roman" w:eastAsia="宋体"/>
          <w:b w:val="0"/>
          <w:i w:val="0"/>
          <w:color w:val="000000"/>
          <w:sz w:val="21"/>
        </w:rPr>
        <w:t>除非得到相关授权人员的批准，且适用时得到顾客的批准，否则在策划的安排已圆满完成之前，不得向顾客放行产品和交付服务。</w:t>
      </w:r>
    </w:p>
    <w:p w14:paraId="2BBD25FD">
      <w:pPr>
        <w:keepNext/>
        <w:spacing w:before="60" w:after="0"/>
        <w:jc w:val="both"/>
      </w:pPr>
      <w:r>
        <w:rPr>
          <w:rFonts w:ascii="Times New Roman" w:hAnsi="Times New Roman" w:eastAsia="宋体"/>
          <w:b w:val="0"/>
          <w:i w:val="0"/>
          <w:color w:val="000000"/>
          <w:sz w:val="21"/>
        </w:rPr>
        <w:t>Documented information shall be available as evidence of the release of products and services. The documented information shall include:</w:t>
      </w:r>
    </w:p>
    <w:p w14:paraId="23D7AC9C">
      <w:pPr>
        <w:spacing w:before="0" w:after="100"/>
        <w:jc w:val="both"/>
      </w:pPr>
      <w:r>
        <w:rPr>
          <w:rFonts w:ascii="Times New Roman" w:hAnsi="Times New Roman" w:eastAsia="宋体"/>
          <w:b w:val="0"/>
          <w:i w:val="0"/>
          <w:color w:val="000000"/>
          <w:sz w:val="21"/>
        </w:rPr>
        <w:t>应可获得成文信息，作为产品和服务放行的证据。该成文信息应包括：</w:t>
      </w:r>
    </w:p>
    <w:p w14:paraId="6CED410A">
      <w:pPr>
        <w:keepNext/>
        <w:spacing w:before="20" w:after="0"/>
        <w:ind w:left="357" w:hanging="357"/>
        <w:jc w:val="both"/>
      </w:pPr>
      <w:r>
        <w:rPr>
          <w:rFonts w:ascii="Times New Roman" w:hAnsi="Times New Roman" w:eastAsia="宋体"/>
          <w:b w:val="0"/>
          <w:i w:val="0"/>
          <w:color w:val="000000"/>
          <w:sz w:val="21"/>
        </w:rPr>
        <w:t>a) evidence of conformity to the acceptance criteria;</w:t>
      </w:r>
    </w:p>
    <w:p w14:paraId="1C4E7202">
      <w:pPr>
        <w:spacing w:before="0" w:after="60"/>
        <w:ind w:left="357" w:hanging="357"/>
        <w:jc w:val="both"/>
      </w:pPr>
      <w:r>
        <w:rPr>
          <w:rFonts w:ascii="Times New Roman" w:hAnsi="Times New Roman" w:eastAsia="宋体"/>
          <w:b w:val="0"/>
          <w:i w:val="0"/>
          <w:color w:val="000000"/>
          <w:sz w:val="21"/>
        </w:rPr>
        <w:t>a) 符合接受准则的证据；</w:t>
      </w:r>
    </w:p>
    <w:p w14:paraId="5C791773">
      <w:pPr>
        <w:keepNext/>
        <w:spacing w:before="20" w:after="0"/>
        <w:ind w:left="357" w:hanging="357"/>
        <w:jc w:val="both"/>
      </w:pPr>
      <w:r>
        <w:rPr>
          <w:rFonts w:ascii="Times New Roman" w:hAnsi="Times New Roman" w:eastAsia="宋体"/>
          <w:b w:val="0"/>
          <w:i w:val="0"/>
          <w:color w:val="000000"/>
          <w:sz w:val="21"/>
        </w:rPr>
        <w:t>b) traceability to the person(s) authorizing the release.</w:t>
      </w:r>
    </w:p>
    <w:p w14:paraId="07B43765">
      <w:pPr>
        <w:spacing w:before="0" w:after="60"/>
        <w:ind w:left="357" w:hanging="357"/>
        <w:jc w:val="both"/>
      </w:pPr>
      <w:r>
        <w:rPr>
          <w:rFonts w:ascii="Times New Roman" w:hAnsi="Times New Roman" w:eastAsia="宋体"/>
          <w:b w:val="0"/>
          <w:i w:val="0"/>
          <w:color w:val="000000"/>
          <w:sz w:val="21"/>
        </w:rPr>
        <w:t>b) 可追溯到授权放行的人员。</w:t>
      </w:r>
    </w:p>
    <w:p w14:paraId="0157532E">
      <w:pPr>
        <w:keepNext/>
        <w:spacing w:before="240" w:after="0"/>
        <w:jc w:val="left"/>
      </w:pPr>
      <w:r>
        <w:rPr>
          <w:rFonts w:ascii="Times New Roman" w:hAnsi="Times New Roman" w:eastAsia="宋体"/>
          <w:b/>
          <w:i w:val="0"/>
          <w:color w:val="000000"/>
          <w:sz w:val="24"/>
        </w:rPr>
        <w:t>8.7  Control of nonconforming outputs</w:t>
      </w:r>
    </w:p>
    <w:p w14:paraId="55CD8B63">
      <w:pPr>
        <w:spacing w:before="0" w:after="80"/>
        <w:jc w:val="left"/>
      </w:pPr>
      <w:r>
        <w:rPr>
          <w:rFonts w:ascii="Times New Roman" w:hAnsi="Times New Roman" w:eastAsia="黑体"/>
          <w:b w:val="0"/>
          <w:i w:val="0"/>
          <w:color w:val="000000"/>
          <w:sz w:val="24"/>
        </w:rPr>
        <w:t>8.7  不合格输出的控制</w:t>
      </w:r>
    </w:p>
    <w:p w14:paraId="238616C2">
      <w:pPr>
        <w:keepNext/>
        <w:spacing w:before="60" w:after="0"/>
        <w:jc w:val="both"/>
      </w:pPr>
      <w:r>
        <w:rPr>
          <w:rFonts w:ascii="Times New Roman" w:hAnsi="Times New Roman" w:eastAsia="宋体"/>
          <w:b w:val="0"/>
          <w:i w:val="0"/>
          <w:color w:val="000000"/>
          <w:sz w:val="21"/>
        </w:rPr>
        <w:t>8.7.1　The organization shall ensure that outputs that do not conform to requirements are identified and controlled to prevent their unintended use or delivery.</w:t>
      </w:r>
    </w:p>
    <w:p w14:paraId="49AAA976">
      <w:pPr>
        <w:spacing w:before="0" w:after="100"/>
        <w:jc w:val="both"/>
      </w:pPr>
      <w:r>
        <w:rPr>
          <w:rFonts w:ascii="Times New Roman" w:hAnsi="Times New Roman" w:eastAsia="宋体"/>
          <w:b w:val="0"/>
          <w:i w:val="0"/>
          <w:color w:val="000000"/>
          <w:sz w:val="21"/>
        </w:rPr>
        <w:t>8.7.1　组织应确保对不符合要求的输出予以识别和控制，以防止其非预期的使用或交付。</w:t>
      </w:r>
    </w:p>
    <w:p w14:paraId="7FBD350E">
      <w:pPr>
        <w:keepNext/>
        <w:spacing w:before="60" w:after="0"/>
        <w:jc w:val="both"/>
      </w:pPr>
      <w:r>
        <w:rPr>
          <w:rFonts w:ascii="Times New Roman" w:hAnsi="Times New Roman" w:eastAsia="宋体"/>
          <w:b w:val="0"/>
          <w:i w:val="0"/>
          <w:color w:val="000000"/>
          <w:sz w:val="21"/>
        </w:rPr>
        <w:t>The organization shall take appropriate action based on the nature of the nonconformity and its effect on the conformity of products and services. This includes nonconformities detected after product delivery or during or after service provision.</w:t>
      </w:r>
    </w:p>
    <w:p w14:paraId="0F1E32BB">
      <w:pPr>
        <w:spacing w:before="0" w:after="100"/>
        <w:jc w:val="both"/>
      </w:pPr>
      <w:r>
        <w:rPr>
          <w:rFonts w:ascii="Times New Roman" w:hAnsi="Times New Roman" w:eastAsia="宋体"/>
          <w:b w:val="0"/>
          <w:i w:val="0"/>
          <w:color w:val="000000"/>
          <w:sz w:val="21"/>
        </w:rPr>
        <w:t>组织应根据不合格的性质及其对产品和服务合格性的影响采取适当的措施。这也适用于产品交付后或服务提供过程中（及之后）所发现的不合格。</w:t>
      </w:r>
    </w:p>
    <w:p w14:paraId="6C2C61BA">
      <w:pPr>
        <w:keepNext/>
        <w:spacing w:before="60" w:after="0"/>
        <w:jc w:val="both"/>
      </w:pPr>
      <w:r>
        <w:rPr>
          <w:rFonts w:ascii="Times New Roman" w:hAnsi="Times New Roman" w:eastAsia="宋体"/>
          <w:b w:val="0"/>
          <w:i w:val="0"/>
          <w:color w:val="000000"/>
          <w:sz w:val="21"/>
        </w:rPr>
        <w:t>The organization shall deal with nonconforming outputs in one or more of the following ways:</w:t>
      </w:r>
    </w:p>
    <w:p w14:paraId="1BE4E098">
      <w:pPr>
        <w:spacing w:before="0" w:after="100"/>
        <w:jc w:val="both"/>
      </w:pPr>
      <w:r>
        <w:rPr>
          <w:rFonts w:ascii="Times New Roman" w:hAnsi="Times New Roman" w:eastAsia="宋体"/>
          <w:b w:val="0"/>
          <w:i w:val="0"/>
          <w:color w:val="000000"/>
          <w:sz w:val="21"/>
        </w:rPr>
        <w:t>组织应通过下列一种或多种方式处置不合格输出：</w:t>
      </w:r>
    </w:p>
    <w:p w14:paraId="4FE6E12B">
      <w:pPr>
        <w:keepNext/>
        <w:spacing w:before="20" w:after="0"/>
        <w:ind w:left="357" w:hanging="357"/>
        <w:jc w:val="both"/>
      </w:pPr>
      <w:r>
        <w:rPr>
          <w:rFonts w:ascii="Times New Roman" w:hAnsi="Times New Roman" w:eastAsia="宋体"/>
          <w:b w:val="0"/>
          <w:i w:val="0"/>
          <w:color w:val="000000"/>
          <w:sz w:val="21"/>
        </w:rPr>
        <w:t>a) correction;</w:t>
      </w:r>
    </w:p>
    <w:p w14:paraId="7712F484">
      <w:pPr>
        <w:spacing w:before="0" w:after="60"/>
        <w:ind w:left="357" w:hanging="357"/>
        <w:jc w:val="both"/>
      </w:pPr>
      <w:r>
        <w:rPr>
          <w:rFonts w:ascii="Times New Roman" w:hAnsi="Times New Roman" w:eastAsia="宋体"/>
          <w:b w:val="0"/>
          <w:i w:val="0"/>
          <w:color w:val="000000"/>
          <w:sz w:val="21"/>
        </w:rPr>
        <w:t>a) 纠正；</w:t>
      </w:r>
    </w:p>
    <w:p w14:paraId="111B3A42">
      <w:pPr>
        <w:keepNext/>
        <w:spacing w:before="20" w:after="0"/>
        <w:ind w:left="357" w:hanging="357"/>
        <w:jc w:val="both"/>
      </w:pPr>
      <w:r>
        <w:rPr>
          <w:rFonts w:ascii="Times New Roman" w:hAnsi="Times New Roman" w:eastAsia="宋体"/>
          <w:b w:val="0"/>
          <w:i w:val="0"/>
          <w:color w:val="000000"/>
          <w:sz w:val="21"/>
        </w:rPr>
        <w:t>b) segregation, containment, return or suspension of provision of products and services;</w:t>
      </w:r>
    </w:p>
    <w:p w14:paraId="3743D2DC">
      <w:pPr>
        <w:spacing w:before="0" w:after="60"/>
        <w:ind w:left="357" w:hanging="357"/>
        <w:jc w:val="both"/>
      </w:pPr>
      <w:r>
        <w:rPr>
          <w:rFonts w:ascii="Times New Roman" w:hAnsi="Times New Roman" w:eastAsia="宋体"/>
          <w:b w:val="0"/>
          <w:i w:val="0"/>
          <w:color w:val="000000"/>
          <w:sz w:val="21"/>
        </w:rPr>
        <w:t>b) 隔离、限制、退货或暂停提供产品和服务；</w:t>
      </w:r>
    </w:p>
    <w:p w14:paraId="37FFC867">
      <w:pPr>
        <w:keepNext/>
        <w:spacing w:before="20" w:after="0"/>
        <w:ind w:left="357" w:hanging="357"/>
        <w:jc w:val="both"/>
      </w:pPr>
      <w:r>
        <w:rPr>
          <w:rFonts w:ascii="Times New Roman" w:hAnsi="Times New Roman" w:eastAsia="宋体"/>
          <w:b w:val="0"/>
          <w:i w:val="0"/>
          <w:color w:val="000000"/>
          <w:sz w:val="21"/>
        </w:rPr>
        <w:t>c) informing the customer;</w:t>
      </w:r>
    </w:p>
    <w:p w14:paraId="3DF5F5AC">
      <w:pPr>
        <w:spacing w:before="0" w:after="60"/>
        <w:ind w:left="357" w:hanging="357"/>
        <w:jc w:val="both"/>
      </w:pPr>
      <w:r>
        <w:rPr>
          <w:rFonts w:ascii="Times New Roman" w:hAnsi="Times New Roman" w:eastAsia="宋体"/>
          <w:b w:val="0"/>
          <w:i w:val="0"/>
          <w:color w:val="000000"/>
          <w:sz w:val="21"/>
        </w:rPr>
        <w:t>c) 告知顾客；</w:t>
      </w:r>
    </w:p>
    <w:p w14:paraId="754C1C80">
      <w:pPr>
        <w:keepNext/>
        <w:spacing w:before="20" w:after="0"/>
        <w:ind w:left="357" w:hanging="357"/>
        <w:jc w:val="both"/>
      </w:pPr>
      <w:r>
        <w:rPr>
          <w:rFonts w:ascii="Times New Roman" w:hAnsi="Times New Roman" w:eastAsia="宋体"/>
          <w:b w:val="0"/>
          <w:i w:val="0"/>
          <w:color w:val="000000"/>
          <w:sz w:val="21"/>
        </w:rPr>
        <w:t>d) obtaining authorization for acceptance under concession.</w:t>
      </w:r>
    </w:p>
    <w:p w14:paraId="1A59B9B6">
      <w:pPr>
        <w:spacing w:before="0" w:after="60"/>
        <w:ind w:left="357" w:hanging="357"/>
        <w:jc w:val="both"/>
      </w:pPr>
      <w:r>
        <w:rPr>
          <w:rFonts w:ascii="Times New Roman" w:hAnsi="Times New Roman" w:eastAsia="宋体"/>
          <w:b w:val="0"/>
          <w:i w:val="0"/>
          <w:color w:val="000000"/>
          <w:sz w:val="21"/>
        </w:rPr>
        <w:t>d) 获得让步接收的授权。</w:t>
      </w:r>
    </w:p>
    <w:p w14:paraId="321F0B3C">
      <w:pPr>
        <w:keepNext/>
        <w:spacing w:before="60" w:after="0"/>
        <w:jc w:val="both"/>
      </w:pPr>
      <w:r>
        <w:rPr>
          <w:rFonts w:ascii="Times New Roman" w:hAnsi="Times New Roman" w:eastAsia="宋体"/>
          <w:b w:val="0"/>
          <w:i w:val="0"/>
          <w:color w:val="000000"/>
          <w:sz w:val="21"/>
        </w:rPr>
        <w:t>When nonconforming outputs are corrected, the organization shall verify conformity to the requirements.</w:t>
      </w:r>
    </w:p>
    <w:p w14:paraId="33D01477">
      <w:pPr>
        <w:spacing w:before="0" w:after="100"/>
        <w:jc w:val="both"/>
      </w:pPr>
      <w:r>
        <w:rPr>
          <w:rFonts w:ascii="Times New Roman" w:hAnsi="Times New Roman" w:eastAsia="宋体"/>
          <w:b w:val="0"/>
          <w:i w:val="0"/>
          <w:color w:val="000000"/>
          <w:sz w:val="21"/>
        </w:rPr>
        <w:t>当不合格输出得到纠正后，组织应验证其是否符合要求。</w:t>
      </w:r>
    </w:p>
    <w:p w14:paraId="122DBB3B">
      <w:pPr>
        <w:keepNext/>
        <w:spacing w:before="60" w:after="0"/>
        <w:jc w:val="both"/>
      </w:pPr>
      <w:r>
        <w:rPr>
          <w:rFonts w:ascii="Times New Roman" w:hAnsi="Times New Roman" w:eastAsia="宋体"/>
          <w:b w:val="0"/>
          <w:i w:val="0"/>
          <w:color w:val="000000"/>
          <w:sz w:val="21"/>
        </w:rPr>
        <w:t>8.7.2　Documented information shall be available as evidence of:</w:t>
      </w:r>
    </w:p>
    <w:p w14:paraId="56276892">
      <w:pPr>
        <w:spacing w:before="0" w:after="100"/>
        <w:jc w:val="both"/>
      </w:pPr>
      <w:r>
        <w:rPr>
          <w:rFonts w:ascii="Times New Roman" w:hAnsi="Times New Roman" w:eastAsia="宋体"/>
          <w:b w:val="0"/>
          <w:i w:val="0"/>
          <w:color w:val="000000"/>
          <w:sz w:val="21"/>
        </w:rPr>
        <w:t>8.7.2　应可获得成文信息，作为以下方面的证据：</w:t>
      </w:r>
    </w:p>
    <w:p w14:paraId="1BA11ACD">
      <w:pPr>
        <w:keepNext/>
        <w:spacing w:before="20" w:after="0"/>
        <w:ind w:left="357" w:hanging="357"/>
        <w:jc w:val="both"/>
      </w:pPr>
      <w:r>
        <w:rPr>
          <w:rFonts w:ascii="Times New Roman" w:hAnsi="Times New Roman" w:eastAsia="宋体"/>
          <w:b w:val="0"/>
          <w:i w:val="0"/>
          <w:color w:val="000000"/>
          <w:sz w:val="21"/>
        </w:rPr>
        <w:t>a) the nature of the nonconformity;</w:t>
      </w:r>
    </w:p>
    <w:p w14:paraId="27C046B4">
      <w:pPr>
        <w:spacing w:before="0" w:after="60"/>
        <w:ind w:left="357" w:hanging="357"/>
        <w:jc w:val="both"/>
      </w:pPr>
      <w:r>
        <w:rPr>
          <w:rFonts w:ascii="Times New Roman" w:hAnsi="Times New Roman" w:eastAsia="宋体"/>
          <w:b w:val="0"/>
          <w:i w:val="0"/>
          <w:color w:val="000000"/>
          <w:sz w:val="21"/>
        </w:rPr>
        <w:t>a) 不合格的性质；</w:t>
      </w:r>
    </w:p>
    <w:p w14:paraId="1F73CB71">
      <w:pPr>
        <w:keepNext/>
        <w:spacing w:before="20" w:after="0"/>
        <w:ind w:left="357" w:hanging="357"/>
        <w:jc w:val="both"/>
      </w:pPr>
      <w:r>
        <w:rPr>
          <w:rFonts w:ascii="Times New Roman" w:hAnsi="Times New Roman" w:eastAsia="宋体"/>
          <w:b w:val="0"/>
          <w:i w:val="0"/>
          <w:color w:val="000000"/>
          <w:sz w:val="21"/>
        </w:rPr>
        <w:t>b) the actions taken;</w:t>
      </w:r>
    </w:p>
    <w:p w14:paraId="0B3B9826">
      <w:pPr>
        <w:spacing w:before="0" w:after="60"/>
        <w:ind w:left="357" w:hanging="357"/>
        <w:jc w:val="both"/>
      </w:pPr>
      <w:r>
        <w:rPr>
          <w:rFonts w:ascii="Times New Roman" w:hAnsi="Times New Roman" w:eastAsia="宋体"/>
          <w:b w:val="0"/>
          <w:i w:val="0"/>
          <w:color w:val="000000"/>
          <w:sz w:val="21"/>
        </w:rPr>
        <w:t>b) 所采取的措施；</w:t>
      </w:r>
    </w:p>
    <w:p w14:paraId="3FA81798">
      <w:pPr>
        <w:keepNext/>
        <w:spacing w:before="20" w:after="0"/>
        <w:ind w:left="357" w:hanging="357"/>
        <w:jc w:val="both"/>
      </w:pPr>
      <w:r>
        <w:rPr>
          <w:rFonts w:ascii="Times New Roman" w:hAnsi="Times New Roman" w:eastAsia="宋体"/>
          <w:b w:val="0"/>
          <w:i w:val="0"/>
          <w:color w:val="000000"/>
          <w:sz w:val="21"/>
        </w:rPr>
        <w:t>c) any concessions obtained;</w:t>
      </w:r>
    </w:p>
    <w:p w14:paraId="2E2C134B">
      <w:pPr>
        <w:spacing w:before="0" w:after="60"/>
        <w:ind w:left="357" w:hanging="357"/>
        <w:jc w:val="both"/>
      </w:pPr>
      <w:r>
        <w:rPr>
          <w:rFonts w:ascii="Times New Roman" w:hAnsi="Times New Roman" w:eastAsia="宋体"/>
          <w:b w:val="0"/>
          <w:i w:val="0"/>
          <w:color w:val="000000"/>
          <w:sz w:val="21"/>
        </w:rPr>
        <w:t>c) 所获得的让步；</w:t>
      </w:r>
    </w:p>
    <w:p w14:paraId="661127DA">
      <w:pPr>
        <w:keepNext/>
        <w:spacing w:before="20" w:after="0"/>
        <w:ind w:left="357" w:hanging="357"/>
        <w:jc w:val="both"/>
      </w:pPr>
      <w:r>
        <w:rPr>
          <w:rFonts w:ascii="Times New Roman" w:hAnsi="Times New Roman" w:eastAsia="宋体"/>
          <w:b w:val="0"/>
          <w:i w:val="0"/>
          <w:color w:val="000000"/>
          <w:sz w:val="21"/>
        </w:rPr>
        <w:t>d) the authority deciding the action in respect of the nonconformity.</w:t>
      </w:r>
    </w:p>
    <w:p w14:paraId="68125B3B">
      <w:pPr>
        <w:spacing w:before="0" w:after="60"/>
        <w:ind w:left="357" w:hanging="357"/>
        <w:jc w:val="both"/>
      </w:pPr>
      <w:r>
        <w:rPr>
          <w:rFonts w:ascii="Times New Roman" w:hAnsi="Times New Roman" w:eastAsia="宋体"/>
          <w:b w:val="0"/>
          <w:i w:val="0"/>
          <w:color w:val="000000"/>
          <w:sz w:val="21"/>
        </w:rPr>
        <w:t>d) 对不合格处置作出决定的授权者。</w:t>
      </w:r>
    </w:p>
    <w:p w14:paraId="6E40DBD2">
      <w:pPr>
        <w:keepNext/>
        <w:spacing w:before="320" w:after="0"/>
        <w:jc w:val="left"/>
      </w:pPr>
      <w:r>
        <w:rPr>
          <w:rFonts w:ascii="Times New Roman" w:hAnsi="Times New Roman" w:eastAsia="宋体"/>
          <w:b/>
          <w:i w:val="0"/>
          <w:color w:val="000000"/>
          <w:sz w:val="28"/>
        </w:rPr>
        <w:t>9  Performance evaluation</w:t>
      </w:r>
    </w:p>
    <w:p w14:paraId="494BE118">
      <w:pPr>
        <w:pBdr>
          <w:bottom w:val="single" w:color="C01E2E" w:sz="8" w:space="2"/>
        </w:pBdr>
        <w:spacing w:before="0" w:after="100"/>
        <w:jc w:val="left"/>
      </w:pPr>
      <w:r>
        <w:rPr>
          <w:rFonts w:ascii="Times New Roman" w:hAnsi="Times New Roman" w:eastAsia="黑体"/>
          <w:b w:val="0"/>
          <w:i w:val="0"/>
          <w:color w:val="000000"/>
          <w:sz w:val="28"/>
        </w:rPr>
        <w:t>9  绩效评价</w:t>
      </w:r>
    </w:p>
    <w:p w14:paraId="6A1BCA76">
      <w:pPr>
        <w:keepNext/>
        <w:spacing w:before="240" w:after="0"/>
        <w:jc w:val="left"/>
      </w:pPr>
      <w:r>
        <w:rPr>
          <w:rFonts w:ascii="Times New Roman" w:hAnsi="Times New Roman" w:eastAsia="宋体"/>
          <w:b/>
          <w:i w:val="0"/>
          <w:color w:val="000000"/>
          <w:sz w:val="24"/>
        </w:rPr>
        <w:t>9.1  Monitoring, measurement, analysis and evaluation</w:t>
      </w:r>
    </w:p>
    <w:p w14:paraId="34138D4B">
      <w:pPr>
        <w:spacing w:before="0" w:after="80"/>
        <w:jc w:val="left"/>
      </w:pPr>
      <w:r>
        <w:rPr>
          <w:rFonts w:ascii="Times New Roman" w:hAnsi="Times New Roman" w:eastAsia="黑体"/>
          <w:b w:val="0"/>
          <w:i w:val="0"/>
          <w:color w:val="000000"/>
          <w:sz w:val="24"/>
        </w:rPr>
        <w:t>9.1  监视、测量、分析和评价</w:t>
      </w:r>
    </w:p>
    <w:p w14:paraId="794CE5B6">
      <w:pPr>
        <w:keepNext/>
        <w:spacing w:before="200" w:after="0"/>
        <w:jc w:val="left"/>
      </w:pPr>
      <w:r>
        <w:rPr>
          <w:rFonts w:ascii="Times New Roman" w:hAnsi="Times New Roman" w:eastAsia="宋体"/>
          <w:b/>
          <w:i w:val="0"/>
          <w:color w:val="000000"/>
          <w:sz w:val="22"/>
        </w:rPr>
        <w:t>9.1.1  General</w:t>
      </w:r>
    </w:p>
    <w:p w14:paraId="4A2E50E7">
      <w:pPr>
        <w:spacing w:before="0" w:after="80"/>
        <w:jc w:val="left"/>
      </w:pPr>
      <w:r>
        <w:rPr>
          <w:rFonts w:ascii="Times New Roman" w:hAnsi="Times New Roman" w:eastAsia="黑体"/>
          <w:b w:val="0"/>
          <w:i w:val="0"/>
          <w:color w:val="000000"/>
          <w:sz w:val="22"/>
        </w:rPr>
        <w:t>9.1.1  总则</w:t>
      </w:r>
    </w:p>
    <w:p w14:paraId="242A69E8">
      <w:pPr>
        <w:keepNext/>
        <w:spacing w:before="60" w:after="0"/>
        <w:jc w:val="both"/>
      </w:pPr>
      <w:r>
        <w:rPr>
          <w:rFonts w:ascii="Times New Roman" w:hAnsi="Times New Roman" w:eastAsia="宋体"/>
          <w:b w:val="0"/>
          <w:i w:val="0"/>
          <w:color w:val="000000"/>
          <w:sz w:val="21"/>
        </w:rPr>
        <w:t>The organization shall determine:</w:t>
      </w:r>
    </w:p>
    <w:p w14:paraId="2E3454C8">
      <w:pPr>
        <w:spacing w:before="0" w:after="100"/>
        <w:jc w:val="both"/>
      </w:pPr>
      <w:r>
        <w:rPr>
          <w:rFonts w:ascii="Times New Roman" w:hAnsi="Times New Roman" w:eastAsia="宋体"/>
          <w:b w:val="0"/>
          <w:i w:val="0"/>
          <w:color w:val="000000"/>
          <w:sz w:val="21"/>
        </w:rPr>
        <w:t>组织应确定：</w:t>
      </w:r>
    </w:p>
    <w:p w14:paraId="3384A595">
      <w:pPr>
        <w:keepNext/>
        <w:spacing w:before="20" w:after="0"/>
        <w:ind w:left="357" w:hanging="357"/>
        <w:jc w:val="both"/>
      </w:pPr>
      <w:r>
        <w:rPr>
          <w:rFonts w:ascii="Times New Roman" w:hAnsi="Times New Roman" w:eastAsia="宋体"/>
          <w:b w:val="0"/>
          <w:i w:val="0"/>
          <w:color w:val="000000"/>
          <w:sz w:val="21"/>
        </w:rPr>
        <w:t>a) what needs to be monitored and measured;</w:t>
      </w:r>
    </w:p>
    <w:p w14:paraId="212D819E">
      <w:pPr>
        <w:spacing w:before="0" w:after="60"/>
        <w:ind w:left="357" w:hanging="357"/>
        <w:jc w:val="both"/>
      </w:pPr>
      <w:r>
        <w:rPr>
          <w:rFonts w:ascii="Times New Roman" w:hAnsi="Times New Roman" w:eastAsia="宋体"/>
          <w:b w:val="0"/>
          <w:i w:val="0"/>
          <w:color w:val="000000"/>
          <w:sz w:val="21"/>
        </w:rPr>
        <w:t>a) 需要监视和测量的内容；</w:t>
      </w:r>
    </w:p>
    <w:p w14:paraId="6148AC8B">
      <w:pPr>
        <w:keepNext/>
        <w:spacing w:before="20" w:after="0"/>
        <w:ind w:left="357" w:hanging="357"/>
        <w:jc w:val="both"/>
      </w:pPr>
      <w:r>
        <w:rPr>
          <w:rFonts w:ascii="Times New Roman" w:hAnsi="Times New Roman" w:eastAsia="宋体"/>
          <w:b w:val="0"/>
          <w:i w:val="0"/>
          <w:color w:val="000000"/>
          <w:sz w:val="21"/>
        </w:rPr>
        <w:t>b) the methods for monitoring, measurement, analysis and evaluation, as applicable, to ensure valid results;</w:t>
      </w:r>
    </w:p>
    <w:p w14:paraId="632EA8B4">
      <w:pPr>
        <w:spacing w:before="0" w:after="60"/>
        <w:ind w:left="357" w:hanging="357"/>
        <w:jc w:val="both"/>
      </w:pPr>
      <w:r>
        <w:rPr>
          <w:rFonts w:ascii="Times New Roman" w:hAnsi="Times New Roman" w:eastAsia="宋体"/>
          <w:b w:val="0"/>
          <w:i w:val="0"/>
          <w:color w:val="000000"/>
          <w:sz w:val="21"/>
        </w:rPr>
        <w:t>b) 适用时，为确保结果有效所需的监视、测量、分析和评价方法；</w:t>
      </w:r>
    </w:p>
    <w:p w14:paraId="77658918">
      <w:pPr>
        <w:keepNext/>
        <w:spacing w:before="20" w:after="0"/>
        <w:ind w:left="357" w:hanging="357"/>
        <w:jc w:val="both"/>
      </w:pPr>
      <w:r>
        <w:rPr>
          <w:rFonts w:ascii="Times New Roman" w:hAnsi="Times New Roman" w:eastAsia="宋体"/>
          <w:b w:val="0"/>
          <w:i w:val="0"/>
          <w:color w:val="000000"/>
          <w:sz w:val="21"/>
        </w:rPr>
        <w:t>c) when the monitoring and measuring shall be performed;</w:t>
      </w:r>
    </w:p>
    <w:p w14:paraId="4F483C26">
      <w:pPr>
        <w:spacing w:before="0" w:after="60"/>
        <w:ind w:left="357" w:hanging="357"/>
        <w:jc w:val="both"/>
      </w:pPr>
      <w:r>
        <w:rPr>
          <w:rFonts w:ascii="Times New Roman" w:hAnsi="Times New Roman" w:eastAsia="宋体"/>
          <w:b w:val="0"/>
          <w:i w:val="0"/>
          <w:color w:val="000000"/>
          <w:sz w:val="21"/>
        </w:rPr>
        <w:t>c) 实施监视和测量的时机；</w:t>
      </w:r>
    </w:p>
    <w:p w14:paraId="1A5BA369">
      <w:pPr>
        <w:keepNext/>
        <w:spacing w:before="20" w:after="0"/>
        <w:ind w:left="357" w:hanging="357"/>
        <w:jc w:val="both"/>
      </w:pPr>
      <w:r>
        <w:rPr>
          <w:rFonts w:ascii="Times New Roman" w:hAnsi="Times New Roman" w:eastAsia="宋体"/>
          <w:b w:val="0"/>
          <w:i w:val="0"/>
          <w:color w:val="000000"/>
          <w:sz w:val="21"/>
        </w:rPr>
        <w:t>d) when the results from monitoring and measurement shall be analysed and evaluated.</w:t>
      </w:r>
    </w:p>
    <w:p w14:paraId="71F2F701">
      <w:pPr>
        <w:spacing w:before="0" w:after="60"/>
        <w:ind w:left="357" w:hanging="357"/>
        <w:jc w:val="both"/>
      </w:pPr>
      <w:r>
        <w:rPr>
          <w:rFonts w:ascii="Times New Roman" w:hAnsi="Times New Roman" w:eastAsia="宋体"/>
          <w:b w:val="0"/>
          <w:i w:val="0"/>
          <w:color w:val="000000"/>
          <w:sz w:val="21"/>
        </w:rPr>
        <w:t>d) 对监视和测量的结果进行分析和评价的时机。</w:t>
      </w:r>
    </w:p>
    <w:p w14:paraId="54B2D35E">
      <w:pPr>
        <w:keepNext/>
        <w:spacing w:before="60" w:after="0"/>
        <w:jc w:val="both"/>
      </w:pPr>
      <w:r>
        <w:rPr>
          <w:rFonts w:ascii="Times New Roman" w:hAnsi="Times New Roman" w:eastAsia="宋体"/>
          <w:b w:val="0"/>
          <w:i w:val="0"/>
          <w:color w:val="000000"/>
          <w:sz w:val="21"/>
        </w:rPr>
        <w:t>The organization shall evaluate the performance and the effectiveness of the quality management system.</w:t>
      </w:r>
    </w:p>
    <w:p w14:paraId="56BBF120">
      <w:pPr>
        <w:spacing w:before="0" w:after="100"/>
        <w:jc w:val="both"/>
      </w:pPr>
      <w:r>
        <w:rPr>
          <w:rFonts w:ascii="Times New Roman" w:hAnsi="Times New Roman" w:eastAsia="宋体"/>
          <w:b w:val="0"/>
          <w:i w:val="0"/>
          <w:color w:val="000000"/>
          <w:sz w:val="21"/>
        </w:rPr>
        <w:t>组织应评价质量管理体系的绩效和有效性。</w:t>
      </w:r>
    </w:p>
    <w:p w14:paraId="64407858">
      <w:pPr>
        <w:keepNext/>
        <w:spacing w:before="60" w:after="0"/>
        <w:jc w:val="both"/>
      </w:pPr>
      <w:r>
        <w:rPr>
          <w:rFonts w:ascii="Times New Roman" w:hAnsi="Times New Roman" w:eastAsia="宋体"/>
          <w:b w:val="0"/>
          <w:i w:val="0"/>
          <w:color w:val="000000"/>
          <w:sz w:val="21"/>
        </w:rPr>
        <w:t>Documented information shall be available as evidence of the results.</w:t>
      </w:r>
    </w:p>
    <w:p w14:paraId="02C0DBDC">
      <w:pPr>
        <w:spacing w:before="0" w:after="100"/>
        <w:jc w:val="both"/>
      </w:pPr>
      <w:r>
        <w:rPr>
          <w:rFonts w:ascii="Times New Roman" w:hAnsi="Times New Roman" w:eastAsia="宋体"/>
          <w:b w:val="0"/>
          <w:i w:val="0"/>
          <w:color w:val="000000"/>
          <w:sz w:val="21"/>
        </w:rPr>
        <w:t>应可获得成文信息，作为结果的证据。</w:t>
      </w:r>
    </w:p>
    <w:p w14:paraId="436D494F">
      <w:pPr>
        <w:keepNext/>
        <w:spacing w:before="200" w:after="0"/>
        <w:jc w:val="left"/>
      </w:pPr>
      <w:r>
        <w:rPr>
          <w:rFonts w:ascii="Times New Roman" w:hAnsi="Times New Roman" w:eastAsia="宋体"/>
          <w:b/>
          <w:i w:val="0"/>
          <w:color w:val="000000"/>
          <w:sz w:val="22"/>
        </w:rPr>
        <w:t>9.1.2  Customer satisfaction</w:t>
      </w:r>
    </w:p>
    <w:p w14:paraId="68FCBF0F">
      <w:pPr>
        <w:spacing w:before="0" w:after="80"/>
        <w:jc w:val="left"/>
      </w:pPr>
      <w:r>
        <w:rPr>
          <w:rFonts w:ascii="Times New Roman" w:hAnsi="Times New Roman" w:eastAsia="黑体"/>
          <w:b w:val="0"/>
          <w:i w:val="0"/>
          <w:color w:val="000000"/>
          <w:sz w:val="22"/>
        </w:rPr>
        <w:t>9.1.2  顾客满意</w:t>
      </w:r>
    </w:p>
    <w:p w14:paraId="4184D33C">
      <w:pPr>
        <w:keepNext/>
        <w:spacing w:before="60" w:after="0"/>
        <w:jc w:val="both"/>
      </w:pPr>
      <w:r>
        <w:rPr>
          <w:rFonts w:ascii="Times New Roman" w:hAnsi="Times New Roman" w:eastAsia="宋体"/>
          <w:b w:val="0"/>
          <w:i w:val="0"/>
          <w:color w:val="000000"/>
          <w:sz w:val="21"/>
        </w:rPr>
        <w:t>The organization shall monitor customer satisfaction. The organization shall determine the methods for obtaining, monitoring and reviewing customer satisfaction information.</w:t>
      </w:r>
    </w:p>
    <w:p w14:paraId="4090BB6D">
      <w:pPr>
        <w:spacing w:before="0" w:after="100"/>
        <w:jc w:val="both"/>
      </w:pPr>
      <w:r>
        <w:rPr>
          <w:rFonts w:ascii="Times New Roman" w:hAnsi="Times New Roman" w:eastAsia="宋体"/>
          <w:b w:val="0"/>
          <w:i w:val="0"/>
          <w:color w:val="000000"/>
          <w:sz w:val="21"/>
        </w:rPr>
        <w:t>组织应监视顾客满意的情况。组织应确定获取、监视和评审顾客满意信息的方法。</w:t>
      </w:r>
    </w:p>
    <w:p w14:paraId="6DED9914">
      <w:pPr>
        <w:keepNext/>
        <w:spacing w:before="20" w:after="0"/>
        <w:ind w:left="227"/>
        <w:jc w:val="both"/>
      </w:pPr>
      <w:r>
        <w:rPr>
          <w:rFonts w:ascii="Times New Roman" w:hAnsi="Times New Roman" w:eastAsia="宋体"/>
          <w:b w:val="0"/>
          <w:i/>
          <w:color w:val="000000"/>
          <w:sz w:val="20"/>
        </w:rPr>
        <w:t>NOTE — Sources of information to support understanding of customer satisfaction can include customer surveys, customer feedback on delivered products and services, meetings with customers, market-share analysis, compliments, complaints, warranty claims, dealer reports or social media.</w:t>
      </w:r>
    </w:p>
    <w:p w14:paraId="6CDE8C64">
      <w:pPr>
        <w:spacing w:before="0" w:after="100"/>
        <w:ind w:left="227"/>
        <w:jc w:val="both"/>
      </w:pPr>
      <w:r>
        <w:rPr>
          <w:rFonts w:ascii="Times New Roman" w:hAnsi="Times New Roman" w:eastAsia="宋体"/>
          <w:b w:val="0"/>
          <w:i w:val="0"/>
          <w:color w:val="000000"/>
          <w:sz w:val="20"/>
        </w:rPr>
        <w:t>注：支持理解顾客满意的信息来源可包括：顾客调查、对已交付产品和服务的顾客反馈、与顾客的会面、市场份额分析、赞扬、投诉、保修索赔、经销商报告或社交媒体。</w:t>
      </w:r>
    </w:p>
    <w:p w14:paraId="22658277">
      <w:pPr>
        <w:keepNext/>
        <w:spacing w:before="200" w:after="0"/>
        <w:jc w:val="left"/>
      </w:pPr>
      <w:r>
        <w:rPr>
          <w:rFonts w:ascii="Times New Roman" w:hAnsi="Times New Roman" w:eastAsia="宋体"/>
          <w:b/>
          <w:i w:val="0"/>
          <w:color w:val="000000"/>
          <w:sz w:val="22"/>
        </w:rPr>
        <w:t>9.1.3  Analysis and evaluation</w:t>
      </w:r>
    </w:p>
    <w:p w14:paraId="58C3DDF0">
      <w:pPr>
        <w:spacing w:before="0" w:after="80"/>
        <w:jc w:val="left"/>
      </w:pPr>
      <w:r>
        <w:rPr>
          <w:rFonts w:ascii="Times New Roman" w:hAnsi="Times New Roman" w:eastAsia="黑体"/>
          <w:b w:val="0"/>
          <w:i w:val="0"/>
          <w:color w:val="000000"/>
          <w:sz w:val="22"/>
        </w:rPr>
        <w:t>9.1.3  分析和评价</w:t>
      </w:r>
    </w:p>
    <w:p w14:paraId="1F5BE370">
      <w:pPr>
        <w:keepNext/>
        <w:spacing w:before="60" w:after="0"/>
        <w:jc w:val="both"/>
      </w:pPr>
      <w:r>
        <w:rPr>
          <w:rFonts w:ascii="Times New Roman" w:hAnsi="Times New Roman" w:eastAsia="宋体"/>
          <w:b w:val="0"/>
          <w:i w:val="0"/>
          <w:color w:val="000000"/>
          <w:sz w:val="21"/>
        </w:rPr>
        <w:t>The organization shall analyse and evaluate relevant data and information arising from monitoring and measurement.</w:t>
      </w:r>
    </w:p>
    <w:p w14:paraId="53D88190">
      <w:pPr>
        <w:spacing w:before="0" w:after="100"/>
        <w:jc w:val="both"/>
      </w:pPr>
      <w:r>
        <w:rPr>
          <w:rFonts w:ascii="Times New Roman" w:hAnsi="Times New Roman" w:eastAsia="宋体"/>
          <w:b w:val="0"/>
          <w:i w:val="0"/>
          <w:color w:val="000000"/>
          <w:sz w:val="21"/>
        </w:rPr>
        <w:t>组织应分析和评价通过监视和测量获得的相关的数据和信息。</w:t>
      </w:r>
    </w:p>
    <w:p w14:paraId="155B2D02">
      <w:pPr>
        <w:keepNext/>
        <w:spacing w:before="60" w:after="0"/>
        <w:jc w:val="both"/>
      </w:pPr>
      <w:r>
        <w:rPr>
          <w:rFonts w:ascii="Times New Roman" w:hAnsi="Times New Roman" w:eastAsia="宋体"/>
          <w:b w:val="0"/>
          <w:i w:val="0"/>
          <w:color w:val="000000"/>
          <w:sz w:val="21"/>
        </w:rPr>
        <w:t>The results of analysis shall be used to evaluate:</w:t>
      </w:r>
    </w:p>
    <w:p w14:paraId="3FB8F960">
      <w:pPr>
        <w:spacing w:before="0" w:after="100"/>
        <w:jc w:val="both"/>
      </w:pPr>
      <w:r>
        <w:rPr>
          <w:rFonts w:ascii="Times New Roman" w:hAnsi="Times New Roman" w:eastAsia="宋体"/>
          <w:b w:val="0"/>
          <w:i w:val="0"/>
          <w:color w:val="000000"/>
          <w:sz w:val="21"/>
        </w:rPr>
        <w:t>分析和评价的结果应用于评价：</w:t>
      </w:r>
    </w:p>
    <w:p w14:paraId="6F3ED36B">
      <w:pPr>
        <w:keepNext/>
        <w:spacing w:before="20" w:after="0"/>
        <w:ind w:left="357" w:hanging="357"/>
        <w:jc w:val="both"/>
      </w:pPr>
      <w:r>
        <w:rPr>
          <w:rFonts w:ascii="Times New Roman" w:hAnsi="Times New Roman" w:eastAsia="宋体"/>
          <w:b w:val="0"/>
          <w:i w:val="0"/>
          <w:color w:val="000000"/>
          <w:sz w:val="21"/>
        </w:rPr>
        <w:t>a) the conformity of products and services;</w:t>
      </w:r>
    </w:p>
    <w:p w14:paraId="0C66F12E">
      <w:pPr>
        <w:spacing w:before="0" w:after="60"/>
        <w:ind w:left="357" w:hanging="357"/>
        <w:jc w:val="both"/>
      </w:pPr>
      <w:r>
        <w:rPr>
          <w:rFonts w:ascii="Times New Roman" w:hAnsi="Times New Roman" w:eastAsia="宋体"/>
          <w:b w:val="0"/>
          <w:i w:val="0"/>
          <w:color w:val="000000"/>
          <w:sz w:val="21"/>
        </w:rPr>
        <w:t>a) 产品和服务的合格情况；</w:t>
      </w:r>
    </w:p>
    <w:p w14:paraId="6C30AFF7">
      <w:pPr>
        <w:keepNext/>
        <w:spacing w:before="20" w:after="0"/>
        <w:ind w:left="357" w:hanging="357"/>
        <w:jc w:val="both"/>
      </w:pPr>
      <w:r>
        <w:rPr>
          <w:rFonts w:ascii="Times New Roman" w:hAnsi="Times New Roman" w:eastAsia="宋体"/>
          <w:b w:val="0"/>
          <w:i w:val="0"/>
          <w:color w:val="000000"/>
          <w:sz w:val="21"/>
        </w:rPr>
        <w:t>b) customer satisfaction;</w:t>
      </w:r>
    </w:p>
    <w:p w14:paraId="24EC6B4F">
      <w:pPr>
        <w:spacing w:before="0" w:after="60"/>
        <w:ind w:left="357" w:hanging="357"/>
        <w:jc w:val="both"/>
      </w:pPr>
      <w:r>
        <w:rPr>
          <w:rFonts w:ascii="Times New Roman" w:hAnsi="Times New Roman" w:eastAsia="宋体"/>
          <w:b w:val="0"/>
          <w:i w:val="0"/>
          <w:color w:val="000000"/>
          <w:sz w:val="21"/>
        </w:rPr>
        <w:t>b) 顾客满意程度；</w:t>
      </w:r>
    </w:p>
    <w:p w14:paraId="6CFF1E70">
      <w:pPr>
        <w:keepNext/>
        <w:spacing w:before="20" w:after="0"/>
        <w:ind w:left="357" w:hanging="357"/>
        <w:jc w:val="both"/>
      </w:pPr>
      <w:r>
        <w:rPr>
          <w:rFonts w:ascii="Times New Roman" w:hAnsi="Times New Roman" w:eastAsia="宋体"/>
          <w:b w:val="0"/>
          <w:i w:val="0"/>
          <w:color w:val="000000"/>
          <w:sz w:val="21"/>
        </w:rPr>
        <w:t>c) the performance and effectiveness of the quality management system;</w:t>
      </w:r>
    </w:p>
    <w:p w14:paraId="3766269F">
      <w:pPr>
        <w:spacing w:before="0" w:after="60"/>
        <w:ind w:left="357" w:hanging="357"/>
        <w:jc w:val="both"/>
      </w:pPr>
      <w:r>
        <w:rPr>
          <w:rFonts w:ascii="Times New Roman" w:hAnsi="Times New Roman" w:eastAsia="宋体"/>
          <w:b w:val="0"/>
          <w:i w:val="0"/>
          <w:color w:val="000000"/>
          <w:sz w:val="21"/>
        </w:rPr>
        <w:t>c) 质量管理体系的绩效和有效性；</w:t>
      </w:r>
    </w:p>
    <w:p w14:paraId="46741AB8">
      <w:pPr>
        <w:keepNext/>
        <w:spacing w:before="20" w:after="0"/>
        <w:ind w:left="357" w:hanging="357"/>
        <w:jc w:val="both"/>
      </w:pPr>
      <w:r>
        <w:rPr>
          <w:rFonts w:ascii="Times New Roman" w:hAnsi="Times New Roman" w:eastAsia="宋体"/>
          <w:b w:val="0"/>
          <w:i w:val="0"/>
          <w:color w:val="000000"/>
          <w:sz w:val="21"/>
        </w:rPr>
        <w:t>d) the effectiveness of planning implementation;</w:t>
      </w:r>
    </w:p>
    <w:p w14:paraId="31335721">
      <w:pPr>
        <w:spacing w:before="0" w:after="60"/>
        <w:ind w:left="357" w:hanging="357"/>
        <w:jc w:val="both"/>
      </w:pPr>
      <w:r>
        <w:rPr>
          <w:rFonts w:ascii="Times New Roman" w:hAnsi="Times New Roman" w:eastAsia="宋体"/>
          <w:b w:val="0"/>
          <w:i w:val="0"/>
          <w:color w:val="000000"/>
          <w:sz w:val="21"/>
        </w:rPr>
        <w:t>d) 策划实施的有效性；</w:t>
      </w:r>
    </w:p>
    <w:p w14:paraId="5480D062">
      <w:pPr>
        <w:keepNext/>
        <w:spacing w:before="20" w:after="0"/>
        <w:ind w:left="357" w:hanging="357"/>
        <w:jc w:val="both"/>
      </w:pPr>
      <w:r>
        <w:rPr>
          <w:rFonts w:ascii="Times New Roman" w:hAnsi="Times New Roman" w:eastAsia="宋体"/>
          <w:b w:val="0"/>
          <w:i w:val="0"/>
          <w:color w:val="000000"/>
          <w:sz w:val="21"/>
        </w:rPr>
        <w:t>e) the effectiveness of actions taken to address risks;</w:t>
      </w:r>
    </w:p>
    <w:p w14:paraId="153C5736">
      <w:pPr>
        <w:spacing w:before="0" w:after="60"/>
        <w:ind w:left="357" w:hanging="357"/>
        <w:jc w:val="both"/>
      </w:pPr>
      <w:r>
        <w:rPr>
          <w:rFonts w:ascii="Times New Roman" w:hAnsi="Times New Roman" w:eastAsia="宋体"/>
          <w:b w:val="0"/>
          <w:i w:val="0"/>
          <w:color w:val="000000"/>
          <w:sz w:val="21"/>
        </w:rPr>
        <w:t>e) 应对风险所采取措施的有效性；</w:t>
      </w:r>
    </w:p>
    <w:p w14:paraId="004093F4">
      <w:pPr>
        <w:keepNext/>
        <w:spacing w:before="20" w:after="0"/>
        <w:ind w:left="357" w:hanging="357"/>
        <w:jc w:val="both"/>
      </w:pPr>
      <w:r>
        <w:rPr>
          <w:rFonts w:ascii="Times New Roman" w:hAnsi="Times New Roman" w:eastAsia="宋体"/>
          <w:b w:val="0"/>
          <w:i w:val="0"/>
          <w:color w:val="000000"/>
          <w:sz w:val="21"/>
        </w:rPr>
        <w:t>f) the effectiveness of actions taken to address opportunities;</w:t>
      </w:r>
    </w:p>
    <w:p w14:paraId="3E4337B4">
      <w:pPr>
        <w:spacing w:before="0" w:after="60"/>
        <w:ind w:left="357" w:hanging="357"/>
        <w:jc w:val="both"/>
      </w:pPr>
      <w:r>
        <w:rPr>
          <w:rFonts w:ascii="Times New Roman" w:hAnsi="Times New Roman" w:eastAsia="宋体"/>
          <w:b w:val="0"/>
          <w:i w:val="0"/>
          <w:color w:val="000000"/>
          <w:sz w:val="21"/>
        </w:rPr>
        <w:t>f) 应对机遇所采取措施的有效性；</w:t>
      </w:r>
    </w:p>
    <w:p w14:paraId="466AFD70">
      <w:pPr>
        <w:keepNext/>
        <w:spacing w:before="20" w:after="0"/>
        <w:ind w:left="357" w:hanging="357"/>
        <w:jc w:val="both"/>
      </w:pPr>
      <w:r>
        <w:rPr>
          <w:rFonts w:ascii="Times New Roman" w:hAnsi="Times New Roman" w:eastAsia="宋体"/>
          <w:b w:val="0"/>
          <w:i w:val="0"/>
          <w:color w:val="000000"/>
          <w:sz w:val="21"/>
        </w:rPr>
        <w:t>g) the performance of external providers;</w:t>
      </w:r>
    </w:p>
    <w:p w14:paraId="5E06C6BF">
      <w:pPr>
        <w:spacing w:before="0" w:after="60"/>
        <w:ind w:left="357" w:hanging="357"/>
        <w:jc w:val="both"/>
      </w:pPr>
      <w:r>
        <w:rPr>
          <w:rFonts w:ascii="Times New Roman" w:hAnsi="Times New Roman" w:eastAsia="宋体"/>
          <w:b w:val="0"/>
          <w:i w:val="0"/>
          <w:color w:val="000000"/>
          <w:sz w:val="21"/>
        </w:rPr>
        <w:t>g) 外部供方的绩效；</w:t>
      </w:r>
    </w:p>
    <w:p w14:paraId="65982975">
      <w:pPr>
        <w:keepNext/>
        <w:spacing w:before="20" w:after="0"/>
        <w:ind w:left="357" w:hanging="357"/>
        <w:jc w:val="both"/>
      </w:pPr>
      <w:r>
        <w:rPr>
          <w:rFonts w:ascii="Times New Roman" w:hAnsi="Times New Roman" w:eastAsia="宋体"/>
          <w:b w:val="0"/>
          <w:i w:val="0"/>
          <w:color w:val="000000"/>
          <w:sz w:val="21"/>
        </w:rPr>
        <w:t>h) the need for improvements to the quality management system.</w:t>
      </w:r>
    </w:p>
    <w:p w14:paraId="031B615A">
      <w:pPr>
        <w:spacing w:before="0" w:after="60"/>
        <w:ind w:left="357" w:hanging="357"/>
        <w:jc w:val="both"/>
      </w:pPr>
      <w:r>
        <w:rPr>
          <w:rFonts w:ascii="Times New Roman" w:hAnsi="Times New Roman" w:eastAsia="宋体"/>
          <w:b w:val="0"/>
          <w:i w:val="0"/>
          <w:color w:val="000000"/>
          <w:sz w:val="21"/>
        </w:rPr>
        <w:t>h) 质量管理体系改进的需求。</w:t>
      </w:r>
    </w:p>
    <w:p w14:paraId="3842CB7E">
      <w:pPr>
        <w:keepNext/>
        <w:spacing w:before="20" w:after="0"/>
        <w:ind w:left="227"/>
        <w:jc w:val="both"/>
      </w:pPr>
      <w:r>
        <w:rPr>
          <w:rFonts w:ascii="Times New Roman" w:hAnsi="Times New Roman" w:eastAsia="宋体"/>
          <w:b w:val="0"/>
          <w:i/>
          <w:color w:val="000000"/>
          <w:sz w:val="20"/>
        </w:rPr>
        <w:t>NOTE — Methods to analyse data can include statistical techniques.</w:t>
      </w:r>
    </w:p>
    <w:p w14:paraId="3F0F5D5A">
      <w:pPr>
        <w:spacing w:before="0" w:after="100"/>
        <w:ind w:left="227"/>
        <w:jc w:val="both"/>
      </w:pPr>
      <w:r>
        <w:rPr>
          <w:rFonts w:ascii="Times New Roman" w:hAnsi="Times New Roman" w:eastAsia="宋体"/>
          <w:b w:val="0"/>
          <w:i w:val="0"/>
          <w:color w:val="000000"/>
          <w:sz w:val="20"/>
        </w:rPr>
        <w:t>注：分析数据的方法可包括统计技术。</w:t>
      </w:r>
    </w:p>
    <w:p w14:paraId="2FBD15BE">
      <w:pPr>
        <w:keepNext/>
        <w:spacing w:before="240" w:after="0"/>
        <w:jc w:val="left"/>
      </w:pPr>
      <w:r>
        <w:rPr>
          <w:rFonts w:ascii="Times New Roman" w:hAnsi="Times New Roman" w:eastAsia="宋体"/>
          <w:b/>
          <w:i w:val="0"/>
          <w:color w:val="000000"/>
          <w:sz w:val="24"/>
        </w:rPr>
        <w:t>9.2  Internal audit</w:t>
      </w:r>
    </w:p>
    <w:p w14:paraId="218530CE">
      <w:pPr>
        <w:spacing w:before="0" w:after="80"/>
        <w:jc w:val="left"/>
      </w:pPr>
      <w:r>
        <w:rPr>
          <w:rFonts w:ascii="Times New Roman" w:hAnsi="Times New Roman" w:eastAsia="黑体"/>
          <w:b w:val="0"/>
          <w:i w:val="0"/>
          <w:color w:val="000000"/>
          <w:sz w:val="24"/>
        </w:rPr>
        <w:t>9.2  内部审核</w:t>
      </w:r>
    </w:p>
    <w:p w14:paraId="1A3E7DEE">
      <w:pPr>
        <w:keepNext/>
        <w:spacing w:before="200" w:after="0"/>
        <w:jc w:val="left"/>
      </w:pPr>
      <w:r>
        <w:rPr>
          <w:rFonts w:ascii="Times New Roman" w:hAnsi="Times New Roman" w:eastAsia="宋体"/>
          <w:b/>
          <w:i w:val="0"/>
          <w:color w:val="000000"/>
          <w:sz w:val="22"/>
        </w:rPr>
        <w:t>9.2.1  General</w:t>
      </w:r>
    </w:p>
    <w:p w14:paraId="1656FB86">
      <w:pPr>
        <w:spacing w:before="0" w:after="80"/>
        <w:jc w:val="left"/>
      </w:pPr>
      <w:r>
        <w:rPr>
          <w:rFonts w:ascii="Times New Roman" w:hAnsi="Times New Roman" w:eastAsia="黑体"/>
          <w:b w:val="0"/>
          <w:i w:val="0"/>
          <w:color w:val="000000"/>
          <w:sz w:val="22"/>
        </w:rPr>
        <w:t>9.2.1  总则</w:t>
      </w:r>
    </w:p>
    <w:p w14:paraId="3E4214A8">
      <w:pPr>
        <w:keepNext/>
        <w:spacing w:before="60" w:after="0"/>
        <w:jc w:val="both"/>
      </w:pPr>
      <w:r>
        <w:rPr>
          <w:rFonts w:ascii="Times New Roman" w:hAnsi="Times New Roman" w:eastAsia="宋体"/>
          <w:b w:val="0"/>
          <w:i w:val="0"/>
          <w:color w:val="000000"/>
          <w:sz w:val="21"/>
        </w:rPr>
        <w:t>The organization shall conduct internal audits at planned intervals to provide information on whether the quality management system:</w:t>
      </w:r>
    </w:p>
    <w:p w14:paraId="7DD7F8AD">
      <w:pPr>
        <w:spacing w:before="0" w:after="100"/>
        <w:jc w:val="both"/>
      </w:pPr>
      <w:r>
        <w:rPr>
          <w:rFonts w:ascii="Times New Roman" w:hAnsi="Times New Roman" w:eastAsia="宋体"/>
          <w:b w:val="0"/>
          <w:i w:val="0"/>
          <w:color w:val="000000"/>
          <w:sz w:val="21"/>
        </w:rPr>
        <w:t>组织应按策划的时间间隔实施内部审核，以便提供以下信息：质量管理体系是否：</w:t>
      </w:r>
    </w:p>
    <w:p w14:paraId="16000A5F">
      <w:pPr>
        <w:keepNext/>
        <w:spacing w:before="20" w:after="0"/>
        <w:ind w:left="357" w:hanging="357"/>
        <w:jc w:val="both"/>
      </w:pPr>
      <w:r>
        <w:rPr>
          <w:rFonts w:ascii="Times New Roman" w:hAnsi="Times New Roman" w:eastAsia="宋体"/>
          <w:b w:val="0"/>
          <w:i w:val="0"/>
          <w:color w:val="000000"/>
          <w:sz w:val="21"/>
        </w:rPr>
        <w:t>a) conforms to:</w:t>
      </w:r>
    </w:p>
    <w:p w14:paraId="1E758EA5">
      <w:pPr>
        <w:spacing w:before="0" w:after="60"/>
        <w:ind w:left="357" w:hanging="357"/>
        <w:jc w:val="both"/>
      </w:pPr>
      <w:r>
        <w:rPr>
          <w:rFonts w:ascii="Times New Roman" w:hAnsi="Times New Roman" w:eastAsia="宋体"/>
          <w:b w:val="0"/>
          <w:i w:val="0"/>
          <w:color w:val="000000"/>
          <w:sz w:val="21"/>
        </w:rPr>
        <w:t>a) 符合：</w:t>
      </w:r>
    </w:p>
    <w:p w14:paraId="50BEAA8F">
      <w:pPr>
        <w:keepNext/>
        <w:spacing w:before="20" w:after="0"/>
        <w:ind w:left="720" w:hanging="363"/>
        <w:jc w:val="both"/>
      </w:pPr>
      <w:r>
        <w:rPr>
          <w:rFonts w:ascii="Times New Roman" w:hAnsi="Times New Roman" w:eastAsia="宋体"/>
          <w:b w:val="0"/>
          <w:i w:val="0"/>
          <w:color w:val="000000"/>
          <w:sz w:val="21"/>
        </w:rPr>
        <w:t>1) the organization's own requirements for its quality management system;</w:t>
      </w:r>
    </w:p>
    <w:p w14:paraId="529564CB">
      <w:pPr>
        <w:spacing w:before="0" w:after="60"/>
        <w:ind w:left="720" w:hanging="363"/>
        <w:jc w:val="both"/>
      </w:pPr>
      <w:r>
        <w:rPr>
          <w:rFonts w:ascii="Times New Roman" w:hAnsi="Times New Roman" w:eastAsia="宋体"/>
          <w:b w:val="0"/>
          <w:i w:val="0"/>
          <w:color w:val="000000"/>
          <w:sz w:val="21"/>
        </w:rPr>
        <w:t>1) 组织自身的质量管理体系要求；</w:t>
      </w:r>
    </w:p>
    <w:p w14:paraId="2B3D4090">
      <w:pPr>
        <w:keepNext/>
        <w:spacing w:before="20" w:after="0"/>
        <w:ind w:left="720" w:hanging="363"/>
        <w:jc w:val="both"/>
      </w:pPr>
      <w:r>
        <w:rPr>
          <w:rFonts w:ascii="Times New Roman" w:hAnsi="Times New Roman" w:eastAsia="宋体"/>
          <w:b w:val="0"/>
          <w:i w:val="0"/>
          <w:color w:val="000000"/>
          <w:sz w:val="21"/>
        </w:rPr>
        <w:t>2) the requirements of this document;</w:t>
      </w:r>
    </w:p>
    <w:p w14:paraId="29F9DA57">
      <w:pPr>
        <w:spacing w:before="0" w:after="60"/>
        <w:ind w:left="720" w:hanging="363"/>
        <w:jc w:val="both"/>
      </w:pPr>
      <w:r>
        <w:rPr>
          <w:rFonts w:ascii="Times New Roman" w:hAnsi="Times New Roman" w:eastAsia="宋体"/>
          <w:b w:val="0"/>
          <w:i w:val="0"/>
          <w:color w:val="000000"/>
          <w:sz w:val="21"/>
        </w:rPr>
        <w:t>2) 本文件的要求；</w:t>
      </w:r>
    </w:p>
    <w:p w14:paraId="5BFC6628">
      <w:pPr>
        <w:keepNext/>
        <w:spacing w:before="20" w:after="0"/>
        <w:ind w:left="357" w:hanging="357"/>
        <w:jc w:val="both"/>
      </w:pPr>
      <w:r>
        <w:rPr>
          <w:rFonts w:ascii="Times New Roman" w:hAnsi="Times New Roman" w:eastAsia="宋体"/>
          <w:b w:val="0"/>
          <w:i w:val="0"/>
          <w:color w:val="000000"/>
          <w:sz w:val="21"/>
        </w:rPr>
        <w:t>b) is effectively implemented and maintained.</w:t>
      </w:r>
    </w:p>
    <w:p w14:paraId="5071BDCF">
      <w:pPr>
        <w:spacing w:before="0" w:after="60"/>
        <w:ind w:left="357" w:hanging="357"/>
        <w:jc w:val="both"/>
      </w:pPr>
      <w:r>
        <w:rPr>
          <w:rFonts w:ascii="Times New Roman" w:hAnsi="Times New Roman" w:eastAsia="宋体"/>
          <w:b w:val="0"/>
          <w:i w:val="0"/>
          <w:color w:val="000000"/>
          <w:sz w:val="21"/>
        </w:rPr>
        <w:t>b) 是否得到有效实施和保持。</w:t>
      </w:r>
    </w:p>
    <w:p w14:paraId="14CE529B">
      <w:pPr>
        <w:keepNext/>
        <w:spacing w:before="200" w:after="0"/>
        <w:jc w:val="left"/>
      </w:pPr>
      <w:r>
        <w:rPr>
          <w:rFonts w:ascii="Times New Roman" w:hAnsi="Times New Roman" w:eastAsia="宋体"/>
          <w:b/>
          <w:i w:val="0"/>
          <w:color w:val="000000"/>
          <w:sz w:val="22"/>
        </w:rPr>
        <w:t>9.2.2  Internal audit programme</w:t>
      </w:r>
    </w:p>
    <w:p w14:paraId="751058D4">
      <w:pPr>
        <w:spacing w:before="0" w:after="80"/>
        <w:jc w:val="left"/>
      </w:pPr>
      <w:r>
        <w:rPr>
          <w:rFonts w:ascii="Times New Roman" w:hAnsi="Times New Roman" w:eastAsia="黑体"/>
          <w:b w:val="0"/>
          <w:i w:val="0"/>
          <w:color w:val="000000"/>
          <w:sz w:val="22"/>
        </w:rPr>
        <w:t>9.2.2  内部审核方案</w:t>
      </w:r>
    </w:p>
    <w:p w14:paraId="08C907A4">
      <w:pPr>
        <w:keepNext/>
        <w:spacing w:before="60" w:after="0"/>
        <w:jc w:val="both"/>
      </w:pPr>
      <w:r>
        <w:rPr>
          <w:rFonts w:ascii="Times New Roman" w:hAnsi="Times New Roman" w:eastAsia="宋体"/>
          <w:b w:val="0"/>
          <w:i w:val="0"/>
          <w:color w:val="000000"/>
          <w:sz w:val="21"/>
        </w:rPr>
        <w:t>The organization shall plan, establish, implement and maintain (an) audit programme(s), including the frequency, methods, responsibilities, planning requirements and reporting.</w:t>
      </w:r>
    </w:p>
    <w:p w14:paraId="32F60E87">
      <w:pPr>
        <w:spacing w:before="0" w:after="100"/>
        <w:jc w:val="both"/>
      </w:pPr>
      <w:r>
        <w:rPr>
          <w:rFonts w:ascii="Times New Roman" w:hAnsi="Times New Roman" w:eastAsia="宋体"/>
          <w:b w:val="0"/>
          <w:i w:val="0"/>
          <w:color w:val="000000"/>
          <w:sz w:val="21"/>
        </w:rPr>
        <w:t>组织应策划、建立、实施和保持审核方案（一个或多个），包括审核的频次、方法、职责、策划要求和报告。</w:t>
      </w:r>
    </w:p>
    <w:p w14:paraId="71B3778F">
      <w:pPr>
        <w:keepNext/>
        <w:spacing w:before="60" w:after="0"/>
        <w:jc w:val="both"/>
      </w:pPr>
      <w:r>
        <w:rPr>
          <w:rFonts w:ascii="Times New Roman" w:hAnsi="Times New Roman" w:eastAsia="宋体"/>
          <w:b w:val="0"/>
          <w:i w:val="0"/>
          <w:color w:val="000000"/>
          <w:sz w:val="21"/>
        </w:rPr>
        <w:t>When establishing the internal audit programme(s), the organization shall consider the importance of the processes concerned, the results of previous audits and changes affecting the organization.</w:t>
      </w:r>
    </w:p>
    <w:p w14:paraId="72C2AA82">
      <w:pPr>
        <w:spacing w:before="0" w:after="100"/>
        <w:jc w:val="both"/>
      </w:pPr>
      <w:r>
        <w:rPr>
          <w:rFonts w:ascii="Times New Roman" w:hAnsi="Times New Roman" w:eastAsia="宋体"/>
          <w:b w:val="0"/>
          <w:i w:val="0"/>
          <w:color w:val="000000"/>
          <w:sz w:val="21"/>
        </w:rPr>
        <w:t>在建立内部审核方案时，组织应考虑相关过程的重要性、以往审核的结果以及影响组织的变更。</w:t>
      </w:r>
    </w:p>
    <w:p w14:paraId="36D84650">
      <w:pPr>
        <w:keepNext/>
        <w:spacing w:before="60" w:after="0"/>
        <w:jc w:val="both"/>
      </w:pPr>
      <w:r>
        <w:rPr>
          <w:rFonts w:ascii="Times New Roman" w:hAnsi="Times New Roman" w:eastAsia="宋体"/>
          <w:b w:val="0"/>
          <w:i w:val="0"/>
          <w:color w:val="000000"/>
          <w:sz w:val="21"/>
        </w:rPr>
        <w:t>The organization shall:</w:t>
      </w:r>
    </w:p>
    <w:p w14:paraId="2EE2C63B">
      <w:pPr>
        <w:spacing w:before="0" w:after="100"/>
        <w:jc w:val="both"/>
      </w:pPr>
      <w:r>
        <w:rPr>
          <w:rFonts w:ascii="Times New Roman" w:hAnsi="Times New Roman" w:eastAsia="宋体"/>
          <w:b w:val="0"/>
          <w:i w:val="0"/>
          <w:color w:val="000000"/>
          <w:sz w:val="21"/>
        </w:rPr>
        <w:t>组织应：</w:t>
      </w:r>
    </w:p>
    <w:p w14:paraId="5CEFFFD6">
      <w:pPr>
        <w:keepNext/>
        <w:spacing w:before="20" w:after="0"/>
        <w:ind w:left="357" w:hanging="357"/>
        <w:jc w:val="both"/>
      </w:pPr>
      <w:r>
        <w:rPr>
          <w:rFonts w:ascii="Times New Roman" w:hAnsi="Times New Roman" w:eastAsia="宋体"/>
          <w:b w:val="0"/>
          <w:i w:val="0"/>
          <w:color w:val="000000"/>
          <w:sz w:val="21"/>
        </w:rPr>
        <w:t>a) define the audit objectives, criteria and scope for each audit;</w:t>
      </w:r>
    </w:p>
    <w:p w14:paraId="4C511332">
      <w:pPr>
        <w:spacing w:before="0" w:after="60"/>
        <w:ind w:left="357" w:hanging="357"/>
        <w:jc w:val="both"/>
      </w:pPr>
      <w:r>
        <w:rPr>
          <w:rFonts w:ascii="Times New Roman" w:hAnsi="Times New Roman" w:eastAsia="宋体"/>
          <w:b w:val="0"/>
          <w:i w:val="0"/>
          <w:color w:val="000000"/>
          <w:sz w:val="21"/>
        </w:rPr>
        <w:t>a) 规定每次审核的目标、准则和范围；</w:t>
      </w:r>
    </w:p>
    <w:p w14:paraId="520203A7">
      <w:pPr>
        <w:keepNext/>
        <w:spacing w:before="20" w:after="0"/>
        <w:ind w:left="357" w:hanging="357"/>
        <w:jc w:val="both"/>
      </w:pPr>
      <w:r>
        <w:rPr>
          <w:rFonts w:ascii="Times New Roman" w:hAnsi="Times New Roman" w:eastAsia="宋体"/>
          <w:b w:val="0"/>
          <w:i w:val="0"/>
          <w:color w:val="000000"/>
          <w:sz w:val="21"/>
        </w:rPr>
        <w:t>b) select auditors and conduct audits to ensure objectivity and the impartiality of the audit process;</w:t>
      </w:r>
    </w:p>
    <w:p w14:paraId="2E4BCF46">
      <w:pPr>
        <w:spacing w:before="0" w:after="60"/>
        <w:ind w:left="357" w:hanging="357"/>
        <w:jc w:val="both"/>
      </w:pPr>
      <w:r>
        <w:rPr>
          <w:rFonts w:ascii="Times New Roman" w:hAnsi="Times New Roman" w:eastAsia="宋体"/>
          <w:b w:val="0"/>
          <w:i w:val="0"/>
          <w:color w:val="000000"/>
          <w:sz w:val="21"/>
        </w:rPr>
        <w:t>b) 选择审核员并实施审核，以确保审核过程的客观性和公正性；</w:t>
      </w:r>
    </w:p>
    <w:p w14:paraId="724ED134">
      <w:pPr>
        <w:keepNext/>
        <w:spacing w:before="20" w:after="0"/>
        <w:ind w:left="357" w:hanging="357"/>
        <w:jc w:val="both"/>
      </w:pPr>
      <w:r>
        <w:rPr>
          <w:rFonts w:ascii="Times New Roman" w:hAnsi="Times New Roman" w:eastAsia="宋体"/>
          <w:b w:val="0"/>
          <w:i w:val="0"/>
          <w:color w:val="000000"/>
          <w:sz w:val="21"/>
        </w:rPr>
        <w:t>c) ensure that the results of audits are reported to relevant managers;</w:t>
      </w:r>
    </w:p>
    <w:p w14:paraId="632E07D4">
      <w:pPr>
        <w:spacing w:before="0" w:after="60"/>
        <w:ind w:left="357" w:hanging="357"/>
        <w:jc w:val="both"/>
      </w:pPr>
      <w:r>
        <w:rPr>
          <w:rFonts w:ascii="Times New Roman" w:hAnsi="Times New Roman" w:eastAsia="宋体"/>
          <w:b w:val="0"/>
          <w:i w:val="0"/>
          <w:color w:val="000000"/>
          <w:sz w:val="21"/>
        </w:rPr>
        <w:t>c) 确保将审核结果报告给相关管理者；</w:t>
      </w:r>
    </w:p>
    <w:p w14:paraId="3AAC5838">
      <w:pPr>
        <w:keepNext/>
        <w:spacing w:before="20" w:after="0"/>
        <w:ind w:left="357" w:hanging="357"/>
        <w:jc w:val="both"/>
      </w:pPr>
      <w:r>
        <w:rPr>
          <w:rFonts w:ascii="Times New Roman" w:hAnsi="Times New Roman" w:eastAsia="宋体"/>
          <w:b w:val="0"/>
          <w:i w:val="0"/>
          <w:color w:val="000000"/>
          <w:sz w:val="21"/>
        </w:rPr>
        <w:t>d) take appropriate correction and corrective actions without undue delay;</w:t>
      </w:r>
    </w:p>
    <w:p w14:paraId="7B4FFAD8">
      <w:pPr>
        <w:spacing w:before="0" w:after="60"/>
        <w:ind w:left="357" w:hanging="357"/>
        <w:jc w:val="both"/>
      </w:pPr>
      <w:r>
        <w:rPr>
          <w:rFonts w:ascii="Times New Roman" w:hAnsi="Times New Roman" w:eastAsia="宋体"/>
          <w:b w:val="0"/>
          <w:i w:val="0"/>
          <w:color w:val="000000"/>
          <w:sz w:val="21"/>
        </w:rPr>
        <w:t>d) 及时采取适当的纠正和纠正措施；</w:t>
      </w:r>
    </w:p>
    <w:p w14:paraId="1740E005">
      <w:pPr>
        <w:keepNext/>
        <w:spacing w:before="60" w:after="0"/>
        <w:jc w:val="both"/>
      </w:pPr>
      <w:r>
        <w:rPr>
          <w:rFonts w:ascii="Times New Roman" w:hAnsi="Times New Roman" w:eastAsia="宋体"/>
          <w:b w:val="0"/>
          <w:i w:val="0"/>
          <w:color w:val="000000"/>
          <w:sz w:val="21"/>
        </w:rPr>
        <w:t>Documented information shall be available as evidence of the implementation of the audit programme(s) and the audit results.</w:t>
      </w:r>
    </w:p>
    <w:p w14:paraId="30EA9DFC">
      <w:pPr>
        <w:spacing w:before="0" w:after="100"/>
        <w:jc w:val="both"/>
      </w:pPr>
      <w:r>
        <w:rPr>
          <w:rFonts w:ascii="Times New Roman" w:hAnsi="Times New Roman" w:eastAsia="宋体"/>
          <w:b w:val="0"/>
          <w:i w:val="0"/>
          <w:color w:val="000000"/>
          <w:sz w:val="21"/>
        </w:rPr>
        <w:t>应可获得成文信息，作为审核方案实施以及审核结果的证据。</w:t>
      </w:r>
    </w:p>
    <w:p w14:paraId="6CA332C1">
      <w:pPr>
        <w:keepNext/>
        <w:spacing w:before="20" w:after="0"/>
        <w:ind w:left="227"/>
        <w:jc w:val="both"/>
      </w:pPr>
      <w:r>
        <w:rPr>
          <w:rFonts w:ascii="Times New Roman" w:hAnsi="Times New Roman" w:eastAsia="宋体"/>
          <w:b w:val="0"/>
          <w:i/>
          <w:color w:val="000000"/>
          <w:sz w:val="20"/>
        </w:rPr>
        <w:t>NOTE — See ISO 19011 for guidance on auditing management systems.</w:t>
      </w:r>
    </w:p>
    <w:p w14:paraId="0FC6B403">
      <w:pPr>
        <w:spacing w:before="0" w:after="100"/>
        <w:ind w:left="227"/>
        <w:jc w:val="both"/>
      </w:pPr>
      <w:r>
        <w:rPr>
          <w:rFonts w:ascii="Times New Roman" w:hAnsi="Times New Roman" w:eastAsia="宋体"/>
          <w:b w:val="0"/>
          <w:i w:val="0"/>
          <w:color w:val="000000"/>
          <w:sz w:val="20"/>
        </w:rPr>
        <w:t>注：管理体系审核指南见ISO 19011。</w:t>
      </w:r>
    </w:p>
    <w:p w14:paraId="7895A314">
      <w:pPr>
        <w:keepNext/>
        <w:spacing w:before="240" w:after="0"/>
        <w:jc w:val="left"/>
      </w:pPr>
      <w:r>
        <w:rPr>
          <w:rFonts w:ascii="Times New Roman" w:hAnsi="Times New Roman" w:eastAsia="宋体"/>
          <w:b/>
          <w:i w:val="0"/>
          <w:color w:val="000000"/>
          <w:sz w:val="24"/>
        </w:rPr>
        <w:t>9.3  Management review</w:t>
      </w:r>
    </w:p>
    <w:p w14:paraId="5F5627BE">
      <w:pPr>
        <w:spacing w:before="0" w:after="80"/>
        <w:jc w:val="left"/>
      </w:pPr>
      <w:r>
        <w:rPr>
          <w:rFonts w:ascii="Times New Roman" w:hAnsi="Times New Roman" w:eastAsia="黑体"/>
          <w:b w:val="0"/>
          <w:i w:val="0"/>
          <w:color w:val="000000"/>
          <w:sz w:val="24"/>
        </w:rPr>
        <w:t>9.3  管理评审</w:t>
      </w:r>
    </w:p>
    <w:p w14:paraId="64F1D66B">
      <w:pPr>
        <w:keepNext/>
        <w:spacing w:before="200" w:after="0"/>
        <w:jc w:val="left"/>
      </w:pPr>
      <w:r>
        <w:rPr>
          <w:rFonts w:ascii="Times New Roman" w:hAnsi="Times New Roman" w:eastAsia="宋体"/>
          <w:b/>
          <w:i w:val="0"/>
          <w:color w:val="000000"/>
          <w:sz w:val="22"/>
        </w:rPr>
        <w:t>9.3.1  General</w:t>
      </w:r>
    </w:p>
    <w:p w14:paraId="2D953751">
      <w:pPr>
        <w:spacing w:before="0" w:after="80"/>
        <w:jc w:val="left"/>
      </w:pPr>
      <w:r>
        <w:rPr>
          <w:rFonts w:ascii="Times New Roman" w:hAnsi="Times New Roman" w:eastAsia="黑体"/>
          <w:b w:val="0"/>
          <w:i w:val="0"/>
          <w:color w:val="000000"/>
          <w:sz w:val="22"/>
        </w:rPr>
        <w:t>9.3.1  总则</w:t>
      </w:r>
    </w:p>
    <w:p w14:paraId="4DBDDB13">
      <w:pPr>
        <w:keepNext/>
        <w:spacing w:before="60" w:after="0"/>
        <w:jc w:val="both"/>
      </w:pPr>
      <w:r>
        <w:rPr>
          <w:rFonts w:ascii="Times New Roman" w:hAnsi="Times New Roman" w:eastAsia="宋体"/>
          <w:b w:val="0"/>
          <w:i w:val="0"/>
          <w:color w:val="000000"/>
          <w:sz w:val="21"/>
        </w:rPr>
        <w:t>Top management shall review the organization's quality management system, at planned intervals, to ensure its continuing suitability, adequacy, effectiveness and alignment with the strategic direction of the organization.</w:t>
      </w:r>
    </w:p>
    <w:p w14:paraId="4241C5CB">
      <w:pPr>
        <w:spacing w:before="0" w:after="100"/>
        <w:jc w:val="both"/>
      </w:pPr>
      <w:r>
        <w:rPr>
          <w:rFonts w:ascii="Times New Roman" w:hAnsi="Times New Roman" w:eastAsia="宋体"/>
          <w:b w:val="0"/>
          <w:i w:val="0"/>
          <w:color w:val="000000"/>
          <w:sz w:val="21"/>
        </w:rPr>
        <w:t>最高管理者应按策划的时间间隔评审组织的质量管理体系，以确保其持续的适宜性、充分性和有效性，并与组织的战略方向保持一致。</w:t>
      </w:r>
    </w:p>
    <w:p w14:paraId="1C670412">
      <w:pPr>
        <w:keepNext/>
        <w:spacing w:before="200" w:after="0"/>
        <w:jc w:val="left"/>
      </w:pPr>
      <w:r>
        <w:rPr>
          <w:rFonts w:ascii="Times New Roman" w:hAnsi="Times New Roman" w:eastAsia="宋体"/>
          <w:b/>
          <w:i w:val="0"/>
          <w:color w:val="000000"/>
          <w:sz w:val="22"/>
        </w:rPr>
        <w:t>9.3.2  Management review inputs</w:t>
      </w:r>
    </w:p>
    <w:p w14:paraId="6EA1C36F">
      <w:pPr>
        <w:spacing w:before="0" w:after="80"/>
        <w:jc w:val="left"/>
      </w:pPr>
      <w:r>
        <w:rPr>
          <w:rFonts w:ascii="Times New Roman" w:hAnsi="Times New Roman" w:eastAsia="黑体"/>
          <w:b w:val="0"/>
          <w:i w:val="0"/>
          <w:color w:val="000000"/>
          <w:sz w:val="22"/>
        </w:rPr>
        <w:t>9.3.2  管理评审输入</w:t>
      </w:r>
    </w:p>
    <w:p w14:paraId="7460A41A">
      <w:pPr>
        <w:keepNext/>
        <w:spacing w:before="60" w:after="0"/>
        <w:jc w:val="both"/>
      </w:pPr>
      <w:r>
        <w:rPr>
          <w:rFonts w:ascii="Times New Roman" w:hAnsi="Times New Roman" w:eastAsia="宋体"/>
          <w:b w:val="0"/>
          <w:i w:val="0"/>
          <w:color w:val="000000"/>
          <w:sz w:val="21"/>
        </w:rPr>
        <w:t>The management review shall include:</w:t>
      </w:r>
    </w:p>
    <w:p w14:paraId="7DD9661D">
      <w:pPr>
        <w:spacing w:before="0" w:after="100"/>
        <w:jc w:val="both"/>
      </w:pPr>
      <w:r>
        <w:rPr>
          <w:rFonts w:ascii="Times New Roman" w:hAnsi="Times New Roman" w:eastAsia="宋体"/>
          <w:b w:val="0"/>
          <w:i w:val="0"/>
          <w:color w:val="000000"/>
          <w:sz w:val="21"/>
        </w:rPr>
        <w:t>管理评审应包括：</w:t>
      </w:r>
    </w:p>
    <w:p w14:paraId="576B782C">
      <w:pPr>
        <w:keepNext/>
        <w:spacing w:before="20" w:after="0"/>
        <w:ind w:left="357" w:hanging="357"/>
        <w:jc w:val="both"/>
      </w:pPr>
      <w:r>
        <w:rPr>
          <w:rFonts w:ascii="Times New Roman" w:hAnsi="Times New Roman" w:eastAsia="宋体"/>
          <w:b w:val="0"/>
          <w:i w:val="0"/>
          <w:color w:val="000000"/>
          <w:sz w:val="21"/>
        </w:rPr>
        <w:t>a) the status of actions from previous management reviews;</w:t>
      </w:r>
    </w:p>
    <w:p w14:paraId="71EFE17F">
      <w:pPr>
        <w:spacing w:before="0" w:after="60"/>
        <w:ind w:left="357" w:hanging="357"/>
        <w:jc w:val="both"/>
      </w:pPr>
      <w:r>
        <w:rPr>
          <w:rFonts w:ascii="Times New Roman" w:hAnsi="Times New Roman" w:eastAsia="宋体"/>
          <w:b w:val="0"/>
          <w:i w:val="0"/>
          <w:color w:val="000000"/>
          <w:sz w:val="21"/>
        </w:rPr>
        <w:t>a) 以往管理评审所采取措施的状况；</w:t>
      </w:r>
    </w:p>
    <w:p w14:paraId="287E8C0E">
      <w:pPr>
        <w:keepNext/>
        <w:spacing w:before="20" w:after="0"/>
        <w:ind w:left="357" w:hanging="357"/>
        <w:jc w:val="both"/>
      </w:pPr>
      <w:r>
        <w:rPr>
          <w:rFonts w:ascii="Times New Roman" w:hAnsi="Times New Roman" w:eastAsia="宋体"/>
          <w:b w:val="0"/>
          <w:i w:val="0"/>
          <w:color w:val="000000"/>
          <w:sz w:val="21"/>
        </w:rPr>
        <w:t>b) changes in external and internal issues that are relevant to the quality management system;</w:t>
      </w:r>
    </w:p>
    <w:p w14:paraId="082C6056">
      <w:pPr>
        <w:spacing w:before="0" w:after="60"/>
        <w:ind w:left="357" w:hanging="357"/>
        <w:jc w:val="both"/>
      </w:pPr>
      <w:r>
        <w:rPr>
          <w:rFonts w:ascii="Times New Roman" w:hAnsi="Times New Roman" w:eastAsia="宋体"/>
          <w:b w:val="0"/>
          <w:i w:val="0"/>
          <w:color w:val="000000"/>
          <w:sz w:val="21"/>
        </w:rPr>
        <w:t>b) 与质量管理体系相关的外部和内部因素的变化；</w:t>
      </w:r>
    </w:p>
    <w:p w14:paraId="3A0B5BE1">
      <w:pPr>
        <w:keepNext/>
        <w:spacing w:before="20" w:after="0"/>
        <w:ind w:left="357" w:hanging="357"/>
        <w:jc w:val="both"/>
      </w:pPr>
      <w:r>
        <w:rPr>
          <w:rFonts w:ascii="Times New Roman" w:hAnsi="Times New Roman" w:eastAsia="宋体"/>
          <w:b w:val="0"/>
          <w:i w:val="0"/>
          <w:color w:val="000000"/>
          <w:sz w:val="21"/>
        </w:rPr>
        <w:t>c) changes in needs and expectations of interested parties that are relevant to the quality management system;</w:t>
      </w:r>
    </w:p>
    <w:p w14:paraId="56FD07CA">
      <w:pPr>
        <w:spacing w:before="0" w:after="60"/>
        <w:ind w:left="357" w:hanging="357"/>
        <w:jc w:val="both"/>
      </w:pPr>
      <w:r>
        <w:rPr>
          <w:rFonts w:ascii="Times New Roman" w:hAnsi="Times New Roman" w:eastAsia="宋体"/>
          <w:b w:val="0"/>
          <w:i w:val="0"/>
          <w:color w:val="000000"/>
          <w:sz w:val="21"/>
        </w:rPr>
        <w:t>c) 与质量管理体系相关的相关方需求和期望的变化；</w:t>
      </w:r>
    </w:p>
    <w:p w14:paraId="639AAEA0">
      <w:pPr>
        <w:keepNext/>
        <w:spacing w:before="20" w:after="0"/>
        <w:ind w:left="357" w:hanging="357"/>
        <w:jc w:val="both"/>
      </w:pPr>
      <w:r>
        <w:rPr>
          <w:rFonts w:ascii="Times New Roman" w:hAnsi="Times New Roman" w:eastAsia="宋体"/>
          <w:b w:val="0"/>
          <w:i w:val="0"/>
          <w:color w:val="000000"/>
          <w:sz w:val="21"/>
        </w:rPr>
        <w:t>d) information on the quality management system performance, including trends in:</w:t>
      </w:r>
    </w:p>
    <w:p w14:paraId="357C9D97">
      <w:pPr>
        <w:spacing w:before="0" w:after="60"/>
        <w:ind w:left="357" w:hanging="357"/>
        <w:jc w:val="both"/>
      </w:pPr>
      <w:r>
        <w:rPr>
          <w:rFonts w:ascii="Times New Roman" w:hAnsi="Times New Roman" w:eastAsia="宋体"/>
          <w:b w:val="0"/>
          <w:i w:val="0"/>
          <w:color w:val="000000"/>
          <w:sz w:val="21"/>
        </w:rPr>
        <w:t>d) 质量管理体系绩效的信息，包括以下方面的趋势：</w:t>
      </w:r>
    </w:p>
    <w:p w14:paraId="5196FAE3">
      <w:pPr>
        <w:keepNext/>
        <w:spacing w:before="20" w:after="0"/>
        <w:ind w:left="720" w:hanging="363"/>
        <w:jc w:val="both"/>
      </w:pPr>
      <w:r>
        <w:rPr>
          <w:rFonts w:ascii="Times New Roman" w:hAnsi="Times New Roman" w:eastAsia="宋体"/>
          <w:b w:val="0"/>
          <w:i w:val="0"/>
          <w:color w:val="000000"/>
          <w:sz w:val="21"/>
        </w:rPr>
        <w:t>1) nonconformities and corrective actions;</w:t>
      </w:r>
    </w:p>
    <w:p w14:paraId="40B08286">
      <w:pPr>
        <w:spacing w:before="0" w:after="60"/>
        <w:ind w:left="720" w:hanging="363"/>
        <w:jc w:val="both"/>
      </w:pPr>
      <w:r>
        <w:rPr>
          <w:rFonts w:ascii="Times New Roman" w:hAnsi="Times New Roman" w:eastAsia="宋体"/>
          <w:b w:val="0"/>
          <w:i w:val="0"/>
          <w:color w:val="000000"/>
          <w:sz w:val="21"/>
        </w:rPr>
        <w:t>1) 不合格与纠正措施；</w:t>
      </w:r>
    </w:p>
    <w:p w14:paraId="54A17938">
      <w:pPr>
        <w:keepNext/>
        <w:spacing w:before="20" w:after="0"/>
        <w:ind w:left="720" w:hanging="363"/>
        <w:jc w:val="both"/>
      </w:pPr>
      <w:r>
        <w:rPr>
          <w:rFonts w:ascii="Times New Roman" w:hAnsi="Times New Roman" w:eastAsia="宋体"/>
          <w:b w:val="0"/>
          <w:i w:val="0"/>
          <w:color w:val="000000"/>
          <w:sz w:val="21"/>
        </w:rPr>
        <w:t>2) monitoring and measurement results;</w:t>
      </w:r>
    </w:p>
    <w:p w14:paraId="3AF62687">
      <w:pPr>
        <w:spacing w:before="0" w:after="60"/>
        <w:ind w:left="720" w:hanging="363"/>
        <w:jc w:val="both"/>
      </w:pPr>
      <w:r>
        <w:rPr>
          <w:rFonts w:ascii="Times New Roman" w:hAnsi="Times New Roman" w:eastAsia="宋体"/>
          <w:b w:val="0"/>
          <w:i w:val="0"/>
          <w:color w:val="000000"/>
          <w:sz w:val="21"/>
        </w:rPr>
        <w:t>2) 监视和测量结果；</w:t>
      </w:r>
    </w:p>
    <w:p w14:paraId="03E2852A">
      <w:pPr>
        <w:keepNext/>
        <w:spacing w:before="20" w:after="0"/>
        <w:ind w:left="720" w:hanging="363"/>
        <w:jc w:val="both"/>
      </w:pPr>
      <w:r>
        <w:rPr>
          <w:rFonts w:ascii="Times New Roman" w:hAnsi="Times New Roman" w:eastAsia="宋体"/>
          <w:b w:val="0"/>
          <w:i w:val="0"/>
          <w:color w:val="000000"/>
          <w:sz w:val="21"/>
        </w:rPr>
        <w:t>3) audit results;</w:t>
      </w:r>
    </w:p>
    <w:p w14:paraId="73D0CDAD">
      <w:pPr>
        <w:spacing w:before="0" w:after="60"/>
        <w:ind w:left="720" w:hanging="363"/>
        <w:jc w:val="both"/>
      </w:pPr>
      <w:r>
        <w:rPr>
          <w:rFonts w:ascii="Times New Roman" w:hAnsi="Times New Roman" w:eastAsia="宋体"/>
          <w:b w:val="0"/>
          <w:i w:val="0"/>
          <w:color w:val="000000"/>
          <w:sz w:val="21"/>
        </w:rPr>
        <w:t>3) 审核结果；</w:t>
      </w:r>
    </w:p>
    <w:p w14:paraId="0FF44192">
      <w:pPr>
        <w:keepNext/>
        <w:spacing w:before="20" w:after="0"/>
        <w:ind w:left="720" w:hanging="363"/>
        <w:jc w:val="both"/>
      </w:pPr>
      <w:r>
        <w:rPr>
          <w:rFonts w:ascii="Times New Roman" w:hAnsi="Times New Roman" w:eastAsia="宋体"/>
          <w:b w:val="0"/>
          <w:i w:val="0"/>
          <w:color w:val="000000"/>
          <w:sz w:val="21"/>
        </w:rPr>
        <w:t>4) customer satisfaction and feedback from relevant interested parties;</w:t>
      </w:r>
    </w:p>
    <w:p w14:paraId="3658C6D0">
      <w:pPr>
        <w:spacing w:before="0" w:after="60"/>
        <w:ind w:left="720" w:hanging="363"/>
        <w:jc w:val="both"/>
      </w:pPr>
      <w:r>
        <w:rPr>
          <w:rFonts w:ascii="Times New Roman" w:hAnsi="Times New Roman" w:eastAsia="宋体"/>
          <w:b w:val="0"/>
          <w:i w:val="0"/>
          <w:color w:val="000000"/>
          <w:sz w:val="21"/>
        </w:rPr>
        <w:t>4) 顾客满意以及相关方的反馈；</w:t>
      </w:r>
    </w:p>
    <w:p w14:paraId="62F5B1A7">
      <w:pPr>
        <w:keepNext/>
        <w:spacing w:before="20" w:after="0"/>
        <w:ind w:left="720" w:hanging="363"/>
        <w:jc w:val="both"/>
      </w:pPr>
      <w:r>
        <w:rPr>
          <w:rFonts w:ascii="Times New Roman" w:hAnsi="Times New Roman" w:eastAsia="宋体"/>
          <w:b w:val="0"/>
          <w:i w:val="0"/>
          <w:color w:val="000000"/>
          <w:sz w:val="21"/>
        </w:rPr>
        <w:t>5) the extent to which quality objectives have been met;</w:t>
      </w:r>
    </w:p>
    <w:p w14:paraId="0CA09838">
      <w:pPr>
        <w:spacing w:before="0" w:after="60"/>
        <w:ind w:left="720" w:hanging="363"/>
        <w:jc w:val="both"/>
      </w:pPr>
      <w:r>
        <w:rPr>
          <w:rFonts w:ascii="Times New Roman" w:hAnsi="Times New Roman" w:eastAsia="宋体"/>
          <w:b w:val="0"/>
          <w:i w:val="0"/>
          <w:color w:val="000000"/>
          <w:sz w:val="21"/>
        </w:rPr>
        <w:t>5) 质量目标的实现程度；</w:t>
      </w:r>
    </w:p>
    <w:p w14:paraId="015614A9">
      <w:pPr>
        <w:keepNext/>
        <w:spacing w:before="20" w:after="0"/>
        <w:ind w:left="720" w:hanging="363"/>
        <w:jc w:val="both"/>
      </w:pPr>
      <w:r>
        <w:rPr>
          <w:rFonts w:ascii="Times New Roman" w:hAnsi="Times New Roman" w:eastAsia="宋体"/>
          <w:b w:val="0"/>
          <w:i w:val="0"/>
          <w:color w:val="000000"/>
          <w:sz w:val="21"/>
        </w:rPr>
        <w:t>6) process performance and conformity of products and services;</w:t>
      </w:r>
    </w:p>
    <w:p w14:paraId="5FECC568">
      <w:pPr>
        <w:spacing w:before="0" w:after="60"/>
        <w:ind w:left="720" w:hanging="363"/>
        <w:jc w:val="both"/>
      </w:pPr>
      <w:r>
        <w:rPr>
          <w:rFonts w:ascii="Times New Roman" w:hAnsi="Times New Roman" w:eastAsia="宋体"/>
          <w:b w:val="0"/>
          <w:i w:val="0"/>
          <w:color w:val="000000"/>
          <w:sz w:val="21"/>
        </w:rPr>
        <w:t>6) 过程绩效以及产品和服务的合格情况；</w:t>
      </w:r>
    </w:p>
    <w:p w14:paraId="4AD8CD78">
      <w:pPr>
        <w:keepNext/>
        <w:spacing w:before="20" w:after="0"/>
        <w:ind w:left="720" w:hanging="363"/>
        <w:jc w:val="both"/>
      </w:pPr>
      <w:r>
        <w:rPr>
          <w:rFonts w:ascii="Times New Roman" w:hAnsi="Times New Roman" w:eastAsia="宋体"/>
          <w:b w:val="0"/>
          <w:i w:val="0"/>
          <w:color w:val="000000"/>
          <w:sz w:val="21"/>
        </w:rPr>
        <w:t>7) the performance of external providers;</w:t>
      </w:r>
    </w:p>
    <w:p w14:paraId="2CE24A8E">
      <w:pPr>
        <w:spacing w:before="0" w:after="60"/>
        <w:ind w:left="720" w:hanging="363"/>
        <w:jc w:val="both"/>
      </w:pPr>
      <w:r>
        <w:rPr>
          <w:rFonts w:ascii="Times New Roman" w:hAnsi="Times New Roman" w:eastAsia="宋体"/>
          <w:b w:val="0"/>
          <w:i w:val="0"/>
          <w:color w:val="000000"/>
          <w:sz w:val="21"/>
        </w:rPr>
        <w:t>7) 外部供方的绩效；</w:t>
      </w:r>
    </w:p>
    <w:p w14:paraId="2ED5D57B">
      <w:pPr>
        <w:keepNext/>
        <w:spacing w:before="20" w:after="0"/>
        <w:ind w:left="357" w:hanging="357"/>
        <w:jc w:val="both"/>
      </w:pPr>
      <w:r>
        <w:rPr>
          <w:rFonts w:ascii="Times New Roman" w:hAnsi="Times New Roman" w:eastAsia="宋体"/>
          <w:b w:val="0"/>
          <w:i w:val="0"/>
          <w:color w:val="000000"/>
          <w:sz w:val="21"/>
        </w:rPr>
        <w:t>e) opportunities for improvement;</w:t>
      </w:r>
    </w:p>
    <w:p w14:paraId="4EF4C4C4">
      <w:pPr>
        <w:spacing w:before="0" w:after="60"/>
        <w:ind w:left="357" w:hanging="357"/>
        <w:jc w:val="both"/>
      </w:pPr>
      <w:r>
        <w:rPr>
          <w:rFonts w:ascii="Times New Roman" w:hAnsi="Times New Roman" w:eastAsia="宋体"/>
          <w:b w:val="0"/>
          <w:i w:val="0"/>
          <w:color w:val="000000"/>
          <w:sz w:val="21"/>
        </w:rPr>
        <w:t>e) 改进的机遇；</w:t>
      </w:r>
    </w:p>
    <w:p w14:paraId="3944632D">
      <w:pPr>
        <w:keepNext/>
        <w:spacing w:before="20" w:after="0"/>
        <w:ind w:left="357" w:hanging="357"/>
        <w:jc w:val="both"/>
      </w:pPr>
      <w:r>
        <w:rPr>
          <w:rFonts w:ascii="Times New Roman" w:hAnsi="Times New Roman" w:eastAsia="宋体"/>
          <w:b w:val="0"/>
          <w:i w:val="0"/>
          <w:color w:val="000000"/>
          <w:sz w:val="21"/>
        </w:rPr>
        <w:t>f) the adequacy of resources;</w:t>
      </w:r>
    </w:p>
    <w:p w14:paraId="3B3E9772">
      <w:pPr>
        <w:spacing w:before="0" w:after="60"/>
        <w:ind w:left="357" w:hanging="357"/>
        <w:jc w:val="both"/>
      </w:pPr>
      <w:r>
        <w:rPr>
          <w:rFonts w:ascii="Times New Roman" w:hAnsi="Times New Roman" w:eastAsia="宋体"/>
          <w:b w:val="0"/>
          <w:i w:val="0"/>
          <w:color w:val="000000"/>
          <w:sz w:val="21"/>
        </w:rPr>
        <w:t>f) 资源的充分性；</w:t>
      </w:r>
    </w:p>
    <w:p w14:paraId="628DB8EA">
      <w:pPr>
        <w:keepNext/>
        <w:spacing w:before="20" w:after="0"/>
        <w:ind w:left="357" w:hanging="357"/>
        <w:jc w:val="both"/>
      </w:pPr>
      <w:r>
        <w:rPr>
          <w:rFonts w:ascii="Times New Roman" w:hAnsi="Times New Roman" w:eastAsia="宋体"/>
          <w:b w:val="0"/>
          <w:i w:val="0"/>
          <w:color w:val="000000"/>
          <w:sz w:val="21"/>
        </w:rPr>
        <w:t>g) the effectiveness of actions taken to address risks (see 6.1.2);</w:t>
      </w:r>
    </w:p>
    <w:p w14:paraId="78F4E246">
      <w:pPr>
        <w:spacing w:before="0" w:after="60"/>
        <w:ind w:left="357" w:hanging="357"/>
        <w:jc w:val="both"/>
      </w:pPr>
      <w:r>
        <w:rPr>
          <w:rFonts w:ascii="Times New Roman" w:hAnsi="Times New Roman" w:eastAsia="宋体"/>
          <w:b w:val="0"/>
          <w:i w:val="0"/>
          <w:color w:val="000000"/>
          <w:sz w:val="21"/>
        </w:rPr>
        <w:t>g) 应对风险所采取措施的有效性（见6.1.2）；</w:t>
      </w:r>
    </w:p>
    <w:p w14:paraId="5B7C7A39">
      <w:pPr>
        <w:keepNext/>
        <w:spacing w:before="20" w:after="0"/>
        <w:ind w:left="357" w:hanging="357"/>
        <w:jc w:val="both"/>
      </w:pPr>
      <w:r>
        <w:rPr>
          <w:rFonts w:ascii="Times New Roman" w:hAnsi="Times New Roman" w:eastAsia="宋体"/>
          <w:b w:val="0"/>
          <w:i w:val="0"/>
          <w:color w:val="000000"/>
          <w:sz w:val="21"/>
        </w:rPr>
        <w:t>h) the effectiveness of actions taken to address opportunities (see 6.1.3).</w:t>
      </w:r>
    </w:p>
    <w:p w14:paraId="6086F95B">
      <w:pPr>
        <w:spacing w:before="0" w:after="60"/>
        <w:ind w:left="357" w:hanging="357"/>
        <w:jc w:val="both"/>
      </w:pPr>
      <w:r>
        <w:rPr>
          <w:rFonts w:ascii="Times New Roman" w:hAnsi="Times New Roman" w:eastAsia="宋体"/>
          <w:b w:val="0"/>
          <w:i w:val="0"/>
          <w:color w:val="000000"/>
          <w:sz w:val="21"/>
        </w:rPr>
        <w:t>h) 应对机遇所采取措施的有效性（见6.1.3）。</w:t>
      </w:r>
    </w:p>
    <w:p w14:paraId="775D44E6">
      <w:pPr>
        <w:keepNext/>
        <w:spacing w:before="200" w:after="0"/>
        <w:jc w:val="left"/>
      </w:pPr>
      <w:r>
        <w:rPr>
          <w:rFonts w:ascii="Times New Roman" w:hAnsi="Times New Roman" w:eastAsia="宋体"/>
          <w:b/>
          <w:i w:val="0"/>
          <w:color w:val="000000"/>
          <w:sz w:val="22"/>
        </w:rPr>
        <w:t>9.3.3  Management review results</w:t>
      </w:r>
    </w:p>
    <w:p w14:paraId="6B986AA3">
      <w:pPr>
        <w:spacing w:before="0" w:after="80"/>
        <w:jc w:val="left"/>
      </w:pPr>
      <w:r>
        <w:rPr>
          <w:rFonts w:ascii="Times New Roman" w:hAnsi="Times New Roman" w:eastAsia="黑体"/>
          <w:b w:val="0"/>
          <w:i w:val="0"/>
          <w:color w:val="000000"/>
          <w:sz w:val="22"/>
        </w:rPr>
        <w:t>9.3.3  管理评审输出</w:t>
      </w:r>
    </w:p>
    <w:p w14:paraId="393AC981">
      <w:pPr>
        <w:keepNext/>
        <w:spacing w:before="60" w:after="0"/>
        <w:jc w:val="both"/>
      </w:pPr>
      <w:r>
        <w:rPr>
          <w:rFonts w:ascii="Times New Roman" w:hAnsi="Times New Roman" w:eastAsia="宋体"/>
          <w:b w:val="0"/>
          <w:i w:val="0"/>
          <w:color w:val="000000"/>
          <w:sz w:val="21"/>
        </w:rPr>
        <w:t>The results of the management review shall include decisions related to continual improvement opportunities and any need for changes to the quality management system and resource needs.</w:t>
      </w:r>
    </w:p>
    <w:p w14:paraId="166F44C2">
      <w:pPr>
        <w:spacing w:before="0" w:after="100"/>
        <w:jc w:val="both"/>
      </w:pPr>
      <w:r>
        <w:rPr>
          <w:rFonts w:ascii="Times New Roman" w:hAnsi="Times New Roman" w:eastAsia="宋体"/>
          <w:b w:val="0"/>
          <w:i w:val="0"/>
          <w:color w:val="000000"/>
          <w:sz w:val="21"/>
        </w:rPr>
        <w:t>管理评审的结果应包括与持续改进机遇相关的决定，以及质量管理体系所需的任何变更和资源需求。</w:t>
      </w:r>
    </w:p>
    <w:p w14:paraId="769CE568">
      <w:pPr>
        <w:keepNext/>
        <w:spacing w:before="60" w:after="0"/>
        <w:jc w:val="both"/>
      </w:pPr>
      <w:r>
        <w:rPr>
          <w:rFonts w:ascii="Times New Roman" w:hAnsi="Times New Roman" w:eastAsia="宋体"/>
          <w:b w:val="0"/>
          <w:i w:val="0"/>
          <w:color w:val="000000"/>
          <w:sz w:val="21"/>
        </w:rPr>
        <w:t>Documented information shall be available as evidence of the results of management reviews.</w:t>
      </w:r>
    </w:p>
    <w:p w14:paraId="12530C87">
      <w:pPr>
        <w:spacing w:before="0" w:after="100"/>
        <w:jc w:val="both"/>
      </w:pPr>
      <w:r>
        <w:rPr>
          <w:rFonts w:ascii="Times New Roman" w:hAnsi="Times New Roman" w:eastAsia="宋体"/>
          <w:b w:val="0"/>
          <w:i w:val="0"/>
          <w:color w:val="000000"/>
          <w:sz w:val="21"/>
        </w:rPr>
        <w:t>应可获得成文信息，作为管理评审结果的证据。</w:t>
      </w:r>
    </w:p>
    <w:p w14:paraId="50FD6423">
      <w:pPr>
        <w:keepNext/>
        <w:spacing w:before="320" w:after="0"/>
        <w:jc w:val="left"/>
      </w:pPr>
      <w:r>
        <w:rPr>
          <w:rFonts w:ascii="Times New Roman" w:hAnsi="Times New Roman" w:eastAsia="宋体"/>
          <w:b/>
          <w:i w:val="0"/>
          <w:color w:val="000000"/>
          <w:sz w:val="28"/>
        </w:rPr>
        <w:t>10  Improvement</w:t>
      </w:r>
    </w:p>
    <w:p w14:paraId="57AEB847">
      <w:pPr>
        <w:pBdr>
          <w:bottom w:val="single" w:color="C01E2E" w:sz="8" w:space="2"/>
        </w:pBdr>
        <w:spacing w:before="0" w:after="100"/>
        <w:jc w:val="left"/>
      </w:pPr>
      <w:r>
        <w:rPr>
          <w:rFonts w:ascii="Times New Roman" w:hAnsi="Times New Roman" w:eastAsia="黑体"/>
          <w:b w:val="0"/>
          <w:i w:val="0"/>
          <w:color w:val="000000"/>
          <w:sz w:val="28"/>
        </w:rPr>
        <w:t>10  改进</w:t>
      </w:r>
    </w:p>
    <w:p w14:paraId="227BB70E">
      <w:pPr>
        <w:keepNext/>
        <w:spacing w:before="240" w:after="0"/>
        <w:jc w:val="left"/>
      </w:pPr>
      <w:r>
        <w:rPr>
          <w:rFonts w:ascii="Times New Roman" w:hAnsi="Times New Roman" w:eastAsia="宋体"/>
          <w:b/>
          <w:i w:val="0"/>
          <w:color w:val="000000"/>
          <w:sz w:val="24"/>
        </w:rPr>
        <w:t>10.1  Continual improvement</w:t>
      </w:r>
    </w:p>
    <w:p w14:paraId="37D2B3C1">
      <w:pPr>
        <w:spacing w:before="0" w:after="80"/>
        <w:jc w:val="left"/>
      </w:pPr>
      <w:r>
        <w:rPr>
          <w:rFonts w:ascii="Times New Roman" w:hAnsi="Times New Roman" w:eastAsia="黑体"/>
          <w:b w:val="0"/>
          <w:i w:val="0"/>
          <w:color w:val="000000"/>
          <w:sz w:val="24"/>
        </w:rPr>
        <w:t>10.1  持续改进</w:t>
      </w:r>
    </w:p>
    <w:p w14:paraId="7EBC4F7F">
      <w:pPr>
        <w:keepNext/>
        <w:spacing w:before="60" w:after="0"/>
        <w:jc w:val="both"/>
      </w:pPr>
      <w:r>
        <w:rPr>
          <w:rFonts w:ascii="Times New Roman" w:hAnsi="Times New Roman" w:eastAsia="宋体"/>
          <w:b w:val="0"/>
          <w:i w:val="0"/>
          <w:color w:val="000000"/>
          <w:sz w:val="21"/>
        </w:rPr>
        <w:t>The organization shall continually improve the suitability, adequacy and effectiveness of the quality management system.</w:t>
      </w:r>
    </w:p>
    <w:p w14:paraId="74BC1920">
      <w:pPr>
        <w:spacing w:before="0" w:after="100"/>
        <w:jc w:val="both"/>
      </w:pPr>
      <w:r>
        <w:rPr>
          <w:rFonts w:ascii="Times New Roman" w:hAnsi="Times New Roman" w:eastAsia="宋体"/>
          <w:b w:val="0"/>
          <w:i w:val="0"/>
          <w:color w:val="000000"/>
          <w:sz w:val="21"/>
        </w:rPr>
        <w:t>组织应持续改进质量管理体系的适宜性、充分性和有效性。</w:t>
      </w:r>
    </w:p>
    <w:p w14:paraId="290FE31E">
      <w:pPr>
        <w:keepNext/>
        <w:spacing w:before="60" w:after="0"/>
        <w:jc w:val="both"/>
      </w:pPr>
      <w:r>
        <w:rPr>
          <w:rFonts w:ascii="Times New Roman" w:hAnsi="Times New Roman" w:eastAsia="宋体"/>
          <w:b w:val="0"/>
          <w:i w:val="0"/>
          <w:color w:val="000000"/>
          <w:sz w:val="21"/>
        </w:rPr>
        <w:t>The organization shall consider the results of monitoring, measurement, analysis and evaluation of data and information, and the results of management review, to determine opportunities. The organization shall address these opportunities as part of continual improvement.</w:t>
      </w:r>
    </w:p>
    <w:p w14:paraId="7415F6D0">
      <w:pPr>
        <w:spacing w:before="0" w:after="100"/>
        <w:jc w:val="both"/>
      </w:pPr>
      <w:r>
        <w:rPr>
          <w:rFonts w:ascii="Times New Roman" w:hAnsi="Times New Roman" w:eastAsia="宋体"/>
          <w:b w:val="0"/>
          <w:i w:val="0"/>
          <w:color w:val="000000"/>
          <w:sz w:val="21"/>
        </w:rPr>
        <w:t>组织应考虑对数据和信息进行监视、测量、分析和评价的结果以及管理评审的结果，以确定改进的机遇。组织应将这些机遇作为持续改进的一部分予以应对。</w:t>
      </w:r>
    </w:p>
    <w:p w14:paraId="6BA4DF7E">
      <w:pPr>
        <w:keepNext/>
        <w:spacing w:before="60" w:after="0"/>
        <w:jc w:val="both"/>
      </w:pPr>
      <w:r>
        <w:rPr>
          <w:rFonts w:ascii="Times New Roman" w:hAnsi="Times New Roman" w:eastAsia="宋体"/>
          <w:b w:val="0"/>
          <w:i w:val="0"/>
          <w:color w:val="000000"/>
          <w:sz w:val="21"/>
        </w:rPr>
        <w:t>Actions shall include:</w:t>
      </w:r>
    </w:p>
    <w:p w14:paraId="7CA6EF04">
      <w:pPr>
        <w:spacing w:before="0" w:after="100"/>
        <w:jc w:val="both"/>
      </w:pPr>
      <w:r>
        <w:rPr>
          <w:rFonts w:ascii="Times New Roman" w:hAnsi="Times New Roman" w:eastAsia="宋体"/>
          <w:b w:val="0"/>
          <w:i w:val="0"/>
          <w:color w:val="000000"/>
          <w:sz w:val="21"/>
        </w:rPr>
        <w:t>所采取的措施应包括：</w:t>
      </w:r>
    </w:p>
    <w:p w14:paraId="448CB2ED">
      <w:pPr>
        <w:keepNext/>
        <w:spacing w:before="20" w:after="0"/>
        <w:ind w:left="357" w:hanging="357"/>
        <w:jc w:val="both"/>
      </w:pPr>
      <w:r>
        <w:rPr>
          <w:rFonts w:ascii="Times New Roman" w:hAnsi="Times New Roman" w:eastAsia="宋体"/>
          <w:b w:val="0"/>
          <w:i w:val="0"/>
          <w:color w:val="000000"/>
          <w:sz w:val="21"/>
        </w:rPr>
        <w:t>a) improving processes, products and services;</w:t>
      </w:r>
    </w:p>
    <w:p w14:paraId="6493DF5F">
      <w:pPr>
        <w:spacing w:before="0" w:after="60"/>
        <w:ind w:left="357" w:hanging="357"/>
        <w:jc w:val="both"/>
      </w:pPr>
      <w:r>
        <w:rPr>
          <w:rFonts w:ascii="Times New Roman" w:hAnsi="Times New Roman" w:eastAsia="宋体"/>
          <w:b w:val="0"/>
          <w:i w:val="0"/>
          <w:color w:val="000000"/>
          <w:sz w:val="21"/>
        </w:rPr>
        <w:t>a) 改进过程、产品和服务；</w:t>
      </w:r>
    </w:p>
    <w:p w14:paraId="1FD623BF">
      <w:pPr>
        <w:keepNext/>
        <w:spacing w:before="20" w:after="0"/>
        <w:ind w:left="357" w:hanging="357"/>
        <w:jc w:val="both"/>
      </w:pPr>
      <w:r>
        <w:rPr>
          <w:rFonts w:ascii="Times New Roman" w:hAnsi="Times New Roman" w:eastAsia="宋体"/>
          <w:b w:val="0"/>
          <w:i w:val="0"/>
          <w:color w:val="000000"/>
          <w:sz w:val="21"/>
        </w:rPr>
        <w:t>b) addressing future needs and expectations;</w:t>
      </w:r>
    </w:p>
    <w:p w14:paraId="217E5FFB">
      <w:pPr>
        <w:spacing w:before="0" w:after="60"/>
        <w:ind w:left="357" w:hanging="357"/>
        <w:jc w:val="both"/>
      </w:pPr>
      <w:r>
        <w:rPr>
          <w:rFonts w:ascii="Times New Roman" w:hAnsi="Times New Roman" w:eastAsia="宋体"/>
          <w:b w:val="0"/>
          <w:i w:val="0"/>
          <w:color w:val="000000"/>
          <w:sz w:val="21"/>
        </w:rPr>
        <w:t>b) 应对未来的需求和期望；</w:t>
      </w:r>
    </w:p>
    <w:p w14:paraId="09E620C2">
      <w:pPr>
        <w:keepNext/>
        <w:spacing w:before="20" w:after="0"/>
        <w:ind w:left="357" w:hanging="357"/>
        <w:jc w:val="both"/>
      </w:pPr>
      <w:r>
        <w:rPr>
          <w:rFonts w:ascii="Times New Roman" w:hAnsi="Times New Roman" w:eastAsia="宋体"/>
          <w:b w:val="0"/>
          <w:i w:val="0"/>
          <w:color w:val="000000"/>
          <w:sz w:val="21"/>
        </w:rPr>
        <w:t>c) correcting, preventing or reducing undesired effects.</w:t>
      </w:r>
    </w:p>
    <w:p w14:paraId="60D76F41">
      <w:pPr>
        <w:spacing w:before="0" w:after="60"/>
        <w:ind w:left="357" w:hanging="357"/>
        <w:jc w:val="both"/>
      </w:pPr>
      <w:r>
        <w:rPr>
          <w:rFonts w:ascii="Times New Roman" w:hAnsi="Times New Roman" w:eastAsia="宋体"/>
          <w:b w:val="0"/>
          <w:i w:val="0"/>
          <w:color w:val="000000"/>
          <w:sz w:val="21"/>
        </w:rPr>
        <w:t>c) 纠正、预防或减少不良影响。</w:t>
      </w:r>
    </w:p>
    <w:p w14:paraId="6B83E800">
      <w:pPr>
        <w:keepNext/>
        <w:spacing w:before="20" w:after="0"/>
        <w:ind w:left="227"/>
        <w:jc w:val="both"/>
      </w:pPr>
      <w:r>
        <w:rPr>
          <w:rFonts w:ascii="Times New Roman" w:hAnsi="Times New Roman" w:eastAsia="宋体"/>
          <w:b w:val="0"/>
          <w:i/>
          <w:color w:val="000000"/>
          <w:sz w:val="20"/>
        </w:rPr>
        <w:t>NOTE — Improvement can be achieved through incremental or breakthrough change, innovation or reorganization initiatives.</w:t>
      </w:r>
    </w:p>
    <w:p w14:paraId="6CEA1731">
      <w:pPr>
        <w:spacing w:before="0" w:after="100"/>
        <w:ind w:left="227"/>
        <w:jc w:val="both"/>
      </w:pPr>
      <w:r>
        <w:rPr>
          <w:rFonts w:ascii="Times New Roman" w:hAnsi="Times New Roman" w:eastAsia="宋体"/>
          <w:b w:val="0"/>
          <w:i w:val="0"/>
          <w:color w:val="000000"/>
          <w:sz w:val="20"/>
        </w:rPr>
        <w:t>注：改进可通过渐进式或突破性变革、创新或重组举措来实现。</w:t>
      </w:r>
    </w:p>
    <w:p w14:paraId="56516D88">
      <w:pPr>
        <w:keepNext/>
        <w:spacing w:before="240" w:after="0"/>
        <w:jc w:val="left"/>
      </w:pPr>
      <w:r>
        <w:rPr>
          <w:rFonts w:ascii="Times New Roman" w:hAnsi="Times New Roman" w:eastAsia="宋体"/>
          <w:b/>
          <w:i w:val="0"/>
          <w:color w:val="000000"/>
          <w:sz w:val="24"/>
        </w:rPr>
        <w:t>10.2  Nonconformity and corrective action</w:t>
      </w:r>
    </w:p>
    <w:p w14:paraId="5BF6A1F0">
      <w:pPr>
        <w:spacing w:before="0" w:after="80"/>
        <w:jc w:val="left"/>
      </w:pPr>
      <w:r>
        <w:rPr>
          <w:rFonts w:ascii="Times New Roman" w:hAnsi="Times New Roman" w:eastAsia="黑体"/>
          <w:b w:val="0"/>
          <w:i w:val="0"/>
          <w:color w:val="000000"/>
          <w:sz w:val="24"/>
        </w:rPr>
        <w:t>10.2  不合格和纠正措施</w:t>
      </w:r>
    </w:p>
    <w:p w14:paraId="4E7822C1">
      <w:pPr>
        <w:keepNext/>
        <w:spacing w:before="60" w:after="0"/>
        <w:jc w:val="both"/>
      </w:pPr>
      <w:r>
        <w:rPr>
          <w:rFonts w:ascii="Times New Roman" w:hAnsi="Times New Roman" w:eastAsia="宋体"/>
          <w:b w:val="0"/>
          <w:i w:val="0"/>
          <w:color w:val="000000"/>
          <w:sz w:val="21"/>
        </w:rPr>
        <w:t>10.2.1　When a nonconformity occurs, the organization shall:</w:t>
      </w:r>
    </w:p>
    <w:p w14:paraId="536D13E8">
      <w:pPr>
        <w:spacing w:before="0" w:after="100"/>
        <w:jc w:val="both"/>
      </w:pPr>
      <w:r>
        <w:rPr>
          <w:rFonts w:ascii="Times New Roman" w:hAnsi="Times New Roman" w:eastAsia="宋体"/>
          <w:b w:val="0"/>
          <w:i w:val="0"/>
          <w:color w:val="000000"/>
          <w:sz w:val="21"/>
        </w:rPr>
        <w:t>10.2.1　当出现不合格时，组织应：</w:t>
      </w:r>
    </w:p>
    <w:p w14:paraId="53800D2F">
      <w:pPr>
        <w:keepNext/>
        <w:spacing w:before="20" w:after="0"/>
        <w:ind w:left="357" w:hanging="357"/>
        <w:jc w:val="both"/>
      </w:pPr>
      <w:r>
        <w:rPr>
          <w:rFonts w:ascii="Times New Roman" w:hAnsi="Times New Roman" w:eastAsia="宋体"/>
          <w:b w:val="0"/>
          <w:i w:val="0"/>
          <w:color w:val="000000"/>
          <w:sz w:val="21"/>
        </w:rPr>
        <w:t>a) react to the nonconformity, and as applicable:</w:t>
      </w:r>
    </w:p>
    <w:p w14:paraId="7B191B0B">
      <w:pPr>
        <w:spacing w:before="0" w:after="60"/>
        <w:ind w:left="357" w:hanging="357"/>
        <w:jc w:val="both"/>
      </w:pPr>
      <w:r>
        <w:rPr>
          <w:rFonts w:ascii="Times New Roman" w:hAnsi="Times New Roman" w:eastAsia="宋体"/>
          <w:b w:val="0"/>
          <w:i w:val="0"/>
          <w:color w:val="000000"/>
          <w:sz w:val="21"/>
        </w:rPr>
        <w:t>a) 对不合格作出应对，且适用时：</w:t>
      </w:r>
    </w:p>
    <w:p w14:paraId="5214AC23">
      <w:pPr>
        <w:keepNext/>
        <w:spacing w:before="20" w:after="0"/>
        <w:ind w:left="720" w:hanging="363"/>
        <w:jc w:val="both"/>
      </w:pPr>
      <w:r>
        <w:rPr>
          <w:rFonts w:ascii="Times New Roman" w:hAnsi="Times New Roman" w:eastAsia="宋体"/>
          <w:b w:val="0"/>
          <w:i w:val="0"/>
          <w:color w:val="000000"/>
          <w:sz w:val="21"/>
        </w:rPr>
        <w:t>1) take action to control and correct it;</w:t>
      </w:r>
    </w:p>
    <w:p w14:paraId="068AD5F8">
      <w:pPr>
        <w:spacing w:before="0" w:after="60"/>
        <w:ind w:left="720" w:hanging="363"/>
        <w:jc w:val="both"/>
      </w:pPr>
      <w:r>
        <w:rPr>
          <w:rFonts w:ascii="Times New Roman" w:hAnsi="Times New Roman" w:eastAsia="宋体"/>
          <w:b w:val="0"/>
          <w:i w:val="0"/>
          <w:color w:val="000000"/>
          <w:sz w:val="21"/>
        </w:rPr>
        <w:t>1) 采取措施予以控制和纠正；</w:t>
      </w:r>
    </w:p>
    <w:p w14:paraId="3F87A923">
      <w:pPr>
        <w:keepNext/>
        <w:spacing w:before="20" w:after="0"/>
        <w:ind w:left="720" w:hanging="363"/>
        <w:jc w:val="both"/>
      </w:pPr>
      <w:r>
        <w:rPr>
          <w:rFonts w:ascii="Times New Roman" w:hAnsi="Times New Roman" w:eastAsia="宋体"/>
          <w:b w:val="0"/>
          <w:i w:val="0"/>
          <w:color w:val="000000"/>
          <w:sz w:val="21"/>
        </w:rPr>
        <w:t>2) deal with the consequences;</w:t>
      </w:r>
    </w:p>
    <w:p w14:paraId="16035EBB">
      <w:pPr>
        <w:spacing w:before="0" w:after="60"/>
        <w:ind w:left="720" w:hanging="363"/>
        <w:jc w:val="both"/>
      </w:pPr>
      <w:r>
        <w:rPr>
          <w:rFonts w:ascii="Times New Roman" w:hAnsi="Times New Roman" w:eastAsia="宋体"/>
          <w:b w:val="0"/>
          <w:i w:val="0"/>
          <w:color w:val="000000"/>
          <w:sz w:val="21"/>
        </w:rPr>
        <w:t>2) 处置所产生的后果；</w:t>
      </w:r>
    </w:p>
    <w:p w14:paraId="6FA887F2">
      <w:pPr>
        <w:keepNext/>
        <w:spacing w:before="20" w:after="0"/>
        <w:ind w:left="357" w:hanging="357"/>
        <w:jc w:val="both"/>
      </w:pPr>
      <w:r>
        <w:rPr>
          <w:rFonts w:ascii="Times New Roman" w:hAnsi="Times New Roman" w:eastAsia="宋体"/>
          <w:b w:val="0"/>
          <w:i w:val="0"/>
          <w:color w:val="000000"/>
          <w:sz w:val="21"/>
        </w:rPr>
        <w:t>b) evaluate the need for action to eliminate the cause(s) of the nonconformity, in order that it does not recur or occur elsewhere, by:</w:t>
      </w:r>
    </w:p>
    <w:p w14:paraId="2FE21CB0">
      <w:pPr>
        <w:spacing w:before="0" w:after="60"/>
        <w:ind w:left="357" w:hanging="357"/>
        <w:jc w:val="both"/>
      </w:pPr>
      <w:r>
        <w:rPr>
          <w:rFonts w:ascii="Times New Roman" w:hAnsi="Times New Roman" w:eastAsia="宋体"/>
          <w:b w:val="0"/>
          <w:i w:val="0"/>
          <w:color w:val="000000"/>
          <w:sz w:val="21"/>
        </w:rPr>
        <w:t>b) 通过下列活动，评价是否存在消除不合格原因的措施需求，以防止不合格再发生或在别处发生：</w:t>
      </w:r>
    </w:p>
    <w:p w14:paraId="016FD91D">
      <w:pPr>
        <w:keepNext/>
        <w:spacing w:before="20" w:after="0"/>
        <w:ind w:left="720" w:hanging="363"/>
        <w:jc w:val="both"/>
      </w:pPr>
      <w:r>
        <w:rPr>
          <w:rFonts w:ascii="Times New Roman" w:hAnsi="Times New Roman" w:eastAsia="宋体"/>
          <w:b w:val="0"/>
          <w:i w:val="0"/>
          <w:color w:val="000000"/>
          <w:sz w:val="21"/>
        </w:rPr>
        <w:t>1) reviewing the nonconformity;</w:t>
      </w:r>
    </w:p>
    <w:p w14:paraId="0A6232FF">
      <w:pPr>
        <w:spacing w:before="0" w:after="60"/>
        <w:ind w:left="720" w:hanging="363"/>
        <w:jc w:val="both"/>
      </w:pPr>
      <w:r>
        <w:rPr>
          <w:rFonts w:ascii="Times New Roman" w:hAnsi="Times New Roman" w:eastAsia="宋体"/>
          <w:b w:val="0"/>
          <w:i w:val="0"/>
          <w:color w:val="000000"/>
          <w:sz w:val="21"/>
        </w:rPr>
        <w:t>1) 评审不合格；</w:t>
      </w:r>
    </w:p>
    <w:p w14:paraId="2A36DF7C">
      <w:pPr>
        <w:keepNext/>
        <w:spacing w:before="20" w:after="0"/>
        <w:ind w:left="720" w:hanging="363"/>
        <w:jc w:val="both"/>
      </w:pPr>
      <w:r>
        <w:rPr>
          <w:rFonts w:ascii="Times New Roman" w:hAnsi="Times New Roman" w:eastAsia="宋体"/>
          <w:b w:val="0"/>
          <w:i w:val="0"/>
          <w:color w:val="000000"/>
          <w:sz w:val="21"/>
        </w:rPr>
        <w:t>2) determining the causes of the nonconformity;</w:t>
      </w:r>
    </w:p>
    <w:p w14:paraId="2F1B3CDA">
      <w:pPr>
        <w:spacing w:before="0" w:after="60"/>
        <w:ind w:left="720" w:hanging="363"/>
        <w:jc w:val="both"/>
      </w:pPr>
      <w:r>
        <w:rPr>
          <w:rFonts w:ascii="Times New Roman" w:hAnsi="Times New Roman" w:eastAsia="宋体"/>
          <w:b w:val="0"/>
          <w:i w:val="0"/>
          <w:color w:val="000000"/>
          <w:sz w:val="21"/>
        </w:rPr>
        <w:t>2) 确定不合格的原因；</w:t>
      </w:r>
    </w:p>
    <w:p w14:paraId="6CA35CBB">
      <w:pPr>
        <w:keepNext/>
        <w:spacing w:before="20" w:after="0"/>
        <w:ind w:left="720" w:hanging="363"/>
        <w:jc w:val="both"/>
      </w:pPr>
      <w:r>
        <w:rPr>
          <w:rFonts w:ascii="Times New Roman" w:hAnsi="Times New Roman" w:eastAsia="宋体"/>
          <w:b w:val="0"/>
          <w:i w:val="0"/>
          <w:color w:val="000000"/>
          <w:sz w:val="21"/>
        </w:rPr>
        <w:t>3) determining if similar nonconformities exist, or can potentially occur;</w:t>
      </w:r>
    </w:p>
    <w:p w14:paraId="72D0849E">
      <w:pPr>
        <w:spacing w:before="0" w:after="60"/>
        <w:ind w:left="720" w:hanging="363"/>
        <w:jc w:val="both"/>
      </w:pPr>
      <w:r>
        <w:rPr>
          <w:rFonts w:ascii="Times New Roman" w:hAnsi="Times New Roman" w:eastAsia="宋体"/>
          <w:b w:val="0"/>
          <w:i w:val="0"/>
          <w:color w:val="000000"/>
          <w:sz w:val="21"/>
        </w:rPr>
        <w:t>3) 确定是否存在类似的不合格，或是否可能发生类似的不合格；</w:t>
      </w:r>
    </w:p>
    <w:p w14:paraId="04EBD481">
      <w:pPr>
        <w:keepNext/>
        <w:spacing w:before="20" w:after="0"/>
        <w:ind w:left="357" w:hanging="357"/>
        <w:jc w:val="both"/>
      </w:pPr>
      <w:r>
        <w:rPr>
          <w:rFonts w:ascii="Times New Roman" w:hAnsi="Times New Roman" w:eastAsia="宋体"/>
          <w:b w:val="0"/>
          <w:i w:val="0"/>
          <w:color w:val="000000"/>
          <w:sz w:val="21"/>
        </w:rPr>
        <w:t>c) implement any action needed;</w:t>
      </w:r>
    </w:p>
    <w:p w14:paraId="3322822F">
      <w:pPr>
        <w:spacing w:before="0" w:after="60"/>
        <w:ind w:left="357" w:hanging="357"/>
        <w:jc w:val="both"/>
      </w:pPr>
      <w:r>
        <w:rPr>
          <w:rFonts w:ascii="Times New Roman" w:hAnsi="Times New Roman" w:eastAsia="宋体"/>
          <w:b w:val="0"/>
          <w:i w:val="0"/>
          <w:color w:val="000000"/>
          <w:sz w:val="21"/>
        </w:rPr>
        <w:t>c) 实施所需的任何措施；</w:t>
      </w:r>
    </w:p>
    <w:p w14:paraId="23631AC5">
      <w:pPr>
        <w:keepNext/>
        <w:spacing w:before="20" w:after="0"/>
        <w:ind w:left="357" w:hanging="357"/>
        <w:jc w:val="both"/>
      </w:pPr>
      <w:r>
        <w:rPr>
          <w:rFonts w:ascii="Times New Roman" w:hAnsi="Times New Roman" w:eastAsia="宋体"/>
          <w:b w:val="0"/>
          <w:i w:val="0"/>
          <w:color w:val="000000"/>
          <w:sz w:val="21"/>
        </w:rPr>
        <w:t>d) review the effectiveness of any corrective action taken;</w:t>
      </w:r>
    </w:p>
    <w:p w14:paraId="012F184B">
      <w:pPr>
        <w:spacing w:before="0" w:after="60"/>
        <w:ind w:left="357" w:hanging="357"/>
        <w:jc w:val="both"/>
      </w:pPr>
      <w:r>
        <w:rPr>
          <w:rFonts w:ascii="Times New Roman" w:hAnsi="Times New Roman" w:eastAsia="宋体"/>
          <w:b w:val="0"/>
          <w:i w:val="0"/>
          <w:color w:val="000000"/>
          <w:sz w:val="21"/>
        </w:rPr>
        <w:t>d) 评审所采取的任何纠正措施的有效性；</w:t>
      </w:r>
    </w:p>
    <w:p w14:paraId="00D5289F">
      <w:pPr>
        <w:keepNext/>
        <w:spacing w:before="20" w:after="0"/>
        <w:ind w:left="357" w:hanging="357"/>
        <w:jc w:val="both"/>
      </w:pPr>
      <w:r>
        <w:rPr>
          <w:rFonts w:ascii="Times New Roman" w:hAnsi="Times New Roman" w:eastAsia="宋体"/>
          <w:b w:val="0"/>
          <w:i w:val="0"/>
          <w:color w:val="000000"/>
          <w:sz w:val="21"/>
        </w:rPr>
        <w:t>e) update the risks and opportunities determined during planning, if necessary;</w:t>
      </w:r>
    </w:p>
    <w:p w14:paraId="440E99B1">
      <w:pPr>
        <w:spacing w:before="0" w:after="60"/>
        <w:ind w:left="357" w:hanging="357"/>
        <w:jc w:val="both"/>
      </w:pPr>
      <w:r>
        <w:rPr>
          <w:rFonts w:ascii="Times New Roman" w:hAnsi="Times New Roman" w:eastAsia="宋体"/>
          <w:b w:val="0"/>
          <w:i w:val="0"/>
          <w:color w:val="000000"/>
          <w:sz w:val="21"/>
        </w:rPr>
        <w:t>e) 必要时，更新策划期间所确定的风险和机遇；</w:t>
      </w:r>
    </w:p>
    <w:p w14:paraId="51A0BF29">
      <w:pPr>
        <w:keepNext/>
        <w:spacing w:before="20" w:after="0"/>
        <w:ind w:left="357" w:hanging="357"/>
        <w:jc w:val="both"/>
      </w:pPr>
      <w:r>
        <w:rPr>
          <w:rFonts w:ascii="Times New Roman" w:hAnsi="Times New Roman" w:eastAsia="宋体"/>
          <w:b w:val="0"/>
          <w:i w:val="0"/>
          <w:color w:val="000000"/>
          <w:sz w:val="21"/>
        </w:rPr>
        <w:t>f) make changes to the quality management system, if necessary.</w:t>
      </w:r>
    </w:p>
    <w:p w14:paraId="595AD838">
      <w:pPr>
        <w:spacing w:before="0" w:after="60"/>
        <w:ind w:left="357" w:hanging="357"/>
        <w:jc w:val="both"/>
      </w:pPr>
      <w:r>
        <w:rPr>
          <w:rFonts w:ascii="Times New Roman" w:hAnsi="Times New Roman" w:eastAsia="宋体"/>
          <w:b w:val="0"/>
          <w:i w:val="0"/>
          <w:color w:val="000000"/>
          <w:sz w:val="21"/>
        </w:rPr>
        <w:t>f) 必要时，变更质量管理体系。</w:t>
      </w:r>
    </w:p>
    <w:p w14:paraId="2D2B002E">
      <w:pPr>
        <w:keepNext/>
        <w:spacing w:before="60" w:after="0"/>
        <w:jc w:val="both"/>
      </w:pPr>
      <w:r>
        <w:rPr>
          <w:rFonts w:ascii="Times New Roman" w:hAnsi="Times New Roman" w:eastAsia="宋体"/>
          <w:b w:val="0"/>
          <w:i w:val="0"/>
          <w:color w:val="000000"/>
          <w:sz w:val="21"/>
        </w:rPr>
        <w:t>Corrective actions shall be appropriate to the effects of the nonconformities encountered.</w:t>
      </w:r>
    </w:p>
    <w:p w14:paraId="6A307140">
      <w:pPr>
        <w:spacing w:before="0" w:after="100"/>
        <w:jc w:val="both"/>
      </w:pPr>
      <w:r>
        <w:rPr>
          <w:rFonts w:ascii="Times New Roman" w:hAnsi="Times New Roman" w:eastAsia="宋体"/>
          <w:b w:val="0"/>
          <w:i w:val="0"/>
          <w:color w:val="000000"/>
          <w:sz w:val="21"/>
        </w:rPr>
        <w:t>纠正措施应与所遇到的不合格的影响相适应。</w:t>
      </w:r>
    </w:p>
    <w:p w14:paraId="3B1A5815">
      <w:pPr>
        <w:keepNext/>
        <w:spacing w:before="20" w:after="0"/>
        <w:ind w:left="227"/>
        <w:jc w:val="both"/>
      </w:pPr>
      <w:r>
        <w:rPr>
          <w:rFonts w:ascii="Times New Roman" w:hAnsi="Times New Roman" w:eastAsia="宋体"/>
          <w:b w:val="0"/>
          <w:i/>
          <w:color w:val="000000"/>
          <w:sz w:val="20"/>
        </w:rPr>
        <w:t>NOTE — Customer complaints can be a source of nonconformities.</w:t>
      </w:r>
    </w:p>
    <w:p w14:paraId="09C3EB32">
      <w:pPr>
        <w:spacing w:before="0" w:after="100"/>
        <w:ind w:left="227"/>
        <w:jc w:val="both"/>
      </w:pPr>
      <w:r>
        <w:rPr>
          <w:rFonts w:ascii="Times New Roman" w:hAnsi="Times New Roman" w:eastAsia="宋体"/>
          <w:b w:val="0"/>
          <w:i w:val="0"/>
          <w:color w:val="000000"/>
          <w:sz w:val="20"/>
        </w:rPr>
        <w:t>注：顾客投诉可能成为不合格的来源。</w:t>
      </w:r>
    </w:p>
    <w:p w14:paraId="5BF3AE93">
      <w:pPr>
        <w:keepNext/>
        <w:spacing w:before="60" w:after="0"/>
        <w:jc w:val="both"/>
      </w:pPr>
      <w:r>
        <w:rPr>
          <w:rFonts w:ascii="Times New Roman" w:hAnsi="Times New Roman" w:eastAsia="宋体"/>
          <w:b w:val="0"/>
          <w:i w:val="0"/>
          <w:color w:val="000000"/>
          <w:sz w:val="21"/>
        </w:rPr>
        <w:t>10.2.2　Documented information shall be available as evidence of:</w:t>
      </w:r>
    </w:p>
    <w:p w14:paraId="38A5CF9C">
      <w:pPr>
        <w:spacing w:before="0" w:after="100"/>
        <w:jc w:val="both"/>
      </w:pPr>
      <w:r>
        <w:rPr>
          <w:rFonts w:ascii="Times New Roman" w:hAnsi="Times New Roman" w:eastAsia="宋体"/>
          <w:b w:val="0"/>
          <w:i w:val="0"/>
          <w:color w:val="000000"/>
          <w:sz w:val="21"/>
        </w:rPr>
        <w:t>10.2.2　应可获得成文信息，作为以下方面的证据：</w:t>
      </w:r>
    </w:p>
    <w:p w14:paraId="6F8ADD4F">
      <w:pPr>
        <w:keepNext/>
        <w:spacing w:before="20" w:after="0"/>
        <w:ind w:left="357" w:hanging="357"/>
        <w:jc w:val="both"/>
      </w:pPr>
      <w:r>
        <w:rPr>
          <w:rFonts w:ascii="Times New Roman" w:hAnsi="Times New Roman" w:eastAsia="宋体"/>
          <w:b w:val="0"/>
          <w:i w:val="0"/>
          <w:color w:val="000000"/>
          <w:sz w:val="21"/>
        </w:rPr>
        <w:t>a) the nature of the nonconformities and any subsequent actions taken;</w:t>
      </w:r>
    </w:p>
    <w:p w14:paraId="2917BCA9">
      <w:pPr>
        <w:spacing w:before="0" w:after="60"/>
        <w:ind w:left="357" w:hanging="357"/>
        <w:jc w:val="both"/>
      </w:pPr>
      <w:r>
        <w:rPr>
          <w:rFonts w:ascii="Times New Roman" w:hAnsi="Times New Roman" w:eastAsia="宋体"/>
          <w:b w:val="0"/>
          <w:i w:val="0"/>
          <w:color w:val="000000"/>
          <w:sz w:val="21"/>
        </w:rPr>
        <w:t>a) 不合格的性质以及随后所采取的任何措施；</w:t>
      </w:r>
    </w:p>
    <w:p w14:paraId="7038E47C">
      <w:pPr>
        <w:keepNext/>
        <w:spacing w:before="20" w:after="0"/>
        <w:ind w:left="357" w:hanging="357"/>
        <w:jc w:val="both"/>
      </w:pPr>
      <w:r>
        <w:rPr>
          <w:rFonts w:ascii="Times New Roman" w:hAnsi="Times New Roman" w:eastAsia="宋体"/>
          <w:b w:val="0"/>
          <w:i w:val="0"/>
          <w:color w:val="000000"/>
          <w:sz w:val="21"/>
        </w:rPr>
        <w:t>b) the results of any corrective action.</w:t>
      </w:r>
    </w:p>
    <w:p w14:paraId="03926C1D">
      <w:pPr>
        <w:spacing w:before="0" w:after="60"/>
        <w:ind w:left="357" w:hanging="357"/>
        <w:jc w:val="both"/>
      </w:pPr>
      <w:r>
        <w:rPr>
          <w:rFonts w:ascii="Times New Roman" w:hAnsi="Times New Roman" w:eastAsia="宋体"/>
          <w:b w:val="0"/>
          <w:i w:val="0"/>
          <w:color w:val="000000"/>
          <w:sz w:val="21"/>
        </w:rPr>
        <w:t>b) 任何纠正措施的结果。</w:t>
      </w:r>
    </w:p>
    <w:p w14:paraId="753A2EF5">
      <w:pPr>
        <w:keepNext/>
        <w:spacing w:before="320" w:after="0"/>
        <w:jc w:val="left"/>
      </w:pPr>
      <w:r>
        <w:rPr>
          <w:rFonts w:ascii="Times New Roman" w:hAnsi="Times New Roman" w:eastAsia="宋体"/>
          <w:b/>
          <w:i w:val="0"/>
          <w:color w:val="000000"/>
          <w:sz w:val="28"/>
        </w:rPr>
        <w:t>Annex A (informative)</w:t>
      </w:r>
    </w:p>
    <w:p w14:paraId="7A154C37">
      <w:pPr>
        <w:pBdr>
          <w:bottom w:val="single" w:color="C01E2E" w:sz="8" w:space="2"/>
        </w:pBdr>
        <w:spacing w:before="0" w:after="100"/>
        <w:jc w:val="left"/>
      </w:pPr>
      <w:r>
        <w:rPr>
          <w:rFonts w:ascii="Times New Roman" w:hAnsi="Times New Roman" w:eastAsia="黑体"/>
          <w:b w:val="0"/>
          <w:i w:val="0"/>
          <w:color w:val="000000"/>
          <w:sz w:val="28"/>
        </w:rPr>
        <w:t>附录A（资料性）</w:t>
      </w:r>
    </w:p>
    <w:p w14:paraId="4ACE39B6">
      <w:pPr>
        <w:keepNext/>
        <w:spacing w:before="240" w:after="0"/>
        <w:jc w:val="left"/>
      </w:pPr>
      <w:r>
        <w:rPr>
          <w:rFonts w:ascii="Times New Roman" w:hAnsi="Times New Roman" w:eastAsia="宋体"/>
          <w:b/>
          <w:i w:val="0"/>
          <w:color w:val="000000"/>
          <w:sz w:val="24"/>
        </w:rPr>
        <w:t>Clarification of structure, terminology and clauses</w:t>
      </w:r>
    </w:p>
    <w:p w14:paraId="73E9E212">
      <w:pPr>
        <w:spacing w:before="0" w:after="80"/>
        <w:jc w:val="left"/>
      </w:pPr>
      <w:r>
        <w:rPr>
          <w:rFonts w:ascii="Times New Roman" w:hAnsi="Times New Roman" w:eastAsia="黑体"/>
          <w:b w:val="0"/>
          <w:i w:val="0"/>
          <w:color w:val="000000"/>
          <w:sz w:val="24"/>
        </w:rPr>
        <w:t>结构、术语和条款的澄清</w:t>
      </w:r>
    </w:p>
    <w:p w14:paraId="08EA040F">
      <w:pPr>
        <w:keepNext/>
        <w:spacing w:before="200" w:after="0"/>
        <w:jc w:val="left"/>
      </w:pPr>
      <w:r>
        <w:rPr>
          <w:rFonts w:ascii="Times New Roman" w:hAnsi="Times New Roman" w:eastAsia="宋体"/>
          <w:b/>
          <w:i w:val="0"/>
          <w:color w:val="000000"/>
          <w:sz w:val="22"/>
        </w:rPr>
        <w:t>A.1  General</w:t>
      </w:r>
    </w:p>
    <w:p w14:paraId="6060A346">
      <w:pPr>
        <w:spacing w:before="0" w:after="80"/>
        <w:jc w:val="left"/>
      </w:pPr>
      <w:r>
        <w:rPr>
          <w:rFonts w:ascii="Times New Roman" w:hAnsi="Times New Roman" w:eastAsia="黑体"/>
          <w:b w:val="0"/>
          <w:i w:val="0"/>
          <w:color w:val="000000"/>
          <w:sz w:val="22"/>
        </w:rPr>
        <w:t>A.1  总则</w:t>
      </w:r>
    </w:p>
    <w:p w14:paraId="66DC5DA4">
      <w:pPr>
        <w:keepNext/>
        <w:spacing w:before="60" w:after="0"/>
        <w:jc w:val="both"/>
      </w:pPr>
      <w:r>
        <w:rPr>
          <w:rFonts w:ascii="Times New Roman" w:hAnsi="Times New Roman" w:eastAsia="宋体"/>
          <w:b w:val="0"/>
          <w:i w:val="0"/>
          <w:color w:val="000000"/>
          <w:sz w:val="21"/>
        </w:rPr>
        <w:t>This annex provides clarification to assist users in understanding the requirements in this document. This information is consistent with these requirements, and does not add to, subtract from or in any way modify them.</w:t>
      </w:r>
    </w:p>
    <w:p w14:paraId="37ADF3DE">
      <w:pPr>
        <w:spacing w:before="0" w:after="100"/>
        <w:jc w:val="both"/>
      </w:pPr>
      <w:r>
        <w:rPr>
          <w:rFonts w:ascii="Times New Roman" w:hAnsi="Times New Roman" w:eastAsia="宋体"/>
          <w:b w:val="0"/>
          <w:i w:val="0"/>
          <w:color w:val="000000"/>
          <w:sz w:val="21"/>
        </w:rPr>
        <w:t>本附录提供澄清，以帮助使用者理解本文件中的要求。这些信息与要求保持一致，并未增加、删减或以任何方式修改这些要求。</w:t>
      </w:r>
    </w:p>
    <w:p w14:paraId="22E72BD1">
      <w:pPr>
        <w:keepNext/>
        <w:spacing w:before="60" w:after="0"/>
        <w:jc w:val="both"/>
      </w:pPr>
      <w:r>
        <w:rPr>
          <w:rFonts w:ascii="Times New Roman" w:hAnsi="Times New Roman" w:eastAsia="宋体"/>
          <w:b w:val="0"/>
          <w:i w:val="0"/>
          <w:color w:val="000000"/>
          <w:sz w:val="21"/>
        </w:rPr>
        <w:t>This annex does not provide guidance for the implementation of requirements, which is available in ISO 9002, the ISO 9001 Handbook for small enterprises or the other standards referenced in the notes to the relevant paragraphs of this annex.</w:t>
      </w:r>
    </w:p>
    <w:p w14:paraId="0DE1AFE8">
      <w:pPr>
        <w:spacing w:before="0" w:after="100"/>
        <w:jc w:val="both"/>
      </w:pPr>
      <w:r>
        <w:rPr>
          <w:rFonts w:ascii="Times New Roman" w:hAnsi="Times New Roman" w:eastAsia="宋体"/>
          <w:b w:val="0"/>
          <w:i w:val="0"/>
          <w:color w:val="000000"/>
          <w:sz w:val="21"/>
        </w:rPr>
        <w:t>本附录不提供要求实施的指南。实施指南可参见ISO 9002、ISO 9001小型企业手册，或本附录相关段落注释中所引用的其他标准。</w:t>
      </w:r>
    </w:p>
    <w:p w14:paraId="24EB1F85">
      <w:pPr>
        <w:keepNext/>
        <w:spacing w:before="60" w:after="0"/>
        <w:jc w:val="both"/>
      </w:pPr>
      <w:r>
        <w:rPr>
          <w:rFonts w:ascii="Times New Roman" w:hAnsi="Times New Roman" w:eastAsia="宋体"/>
          <w:b w:val="0"/>
          <w:i w:val="0"/>
          <w:color w:val="000000"/>
          <w:sz w:val="21"/>
        </w:rPr>
        <w:t>The requirements in this document are intended to be considered from a systems perspective rather than in isolation, as there are interrelationships between the requirements in one clause with the requirements in other clauses.</w:t>
      </w:r>
    </w:p>
    <w:p w14:paraId="0E4ACF1E">
      <w:pPr>
        <w:spacing w:before="0" w:after="100"/>
        <w:jc w:val="both"/>
      </w:pPr>
      <w:r>
        <w:rPr>
          <w:rFonts w:ascii="Times New Roman" w:hAnsi="Times New Roman" w:eastAsia="宋体"/>
          <w:b w:val="0"/>
          <w:i w:val="0"/>
          <w:color w:val="000000"/>
          <w:sz w:val="21"/>
        </w:rPr>
        <w:t>本文件中的要求应从体系的角度予以考虑，而非孤立地看待，因为某一章节中的要求与其他章节中的要求之间存在相互关系。</w:t>
      </w:r>
    </w:p>
    <w:p w14:paraId="6ED7A2F6">
      <w:pPr>
        <w:keepNext/>
        <w:spacing w:before="200" w:after="0"/>
        <w:jc w:val="left"/>
      </w:pPr>
      <w:r>
        <w:rPr>
          <w:rFonts w:ascii="Times New Roman" w:hAnsi="Times New Roman" w:eastAsia="宋体"/>
          <w:b/>
          <w:i w:val="0"/>
          <w:color w:val="000000"/>
          <w:sz w:val="22"/>
        </w:rPr>
        <w:t>A.2  Structure and terminology</w:t>
      </w:r>
    </w:p>
    <w:p w14:paraId="685E2020">
      <w:pPr>
        <w:spacing w:before="0" w:after="80"/>
        <w:jc w:val="left"/>
      </w:pPr>
      <w:r>
        <w:rPr>
          <w:rFonts w:ascii="Times New Roman" w:hAnsi="Times New Roman" w:eastAsia="黑体"/>
          <w:b w:val="0"/>
          <w:i w:val="0"/>
          <w:color w:val="000000"/>
          <w:sz w:val="22"/>
        </w:rPr>
        <w:t>A.2  结构和术语</w:t>
      </w:r>
    </w:p>
    <w:p w14:paraId="0C2C6022">
      <w:pPr>
        <w:keepNext/>
        <w:spacing w:before="60" w:after="0"/>
        <w:jc w:val="both"/>
      </w:pPr>
      <w:r>
        <w:rPr>
          <w:rFonts w:ascii="Times New Roman" w:hAnsi="Times New Roman" w:eastAsia="宋体"/>
          <w:b w:val="0"/>
          <w:i w:val="0"/>
          <w:color w:val="000000"/>
          <w:sz w:val="21"/>
        </w:rPr>
        <w:t>The clause structure of the requirements in this document is not intended as a model for documenting an organization's policies, objectives or processes. The structure and content of documented information related to an organization's quality management system is more relevant to its users when it reflects the terms and processes used within the organization.</w:t>
      </w:r>
    </w:p>
    <w:p w14:paraId="382B5A5F">
      <w:pPr>
        <w:spacing w:before="0" w:after="100"/>
        <w:jc w:val="both"/>
      </w:pPr>
      <w:r>
        <w:rPr>
          <w:rFonts w:ascii="Times New Roman" w:hAnsi="Times New Roman" w:eastAsia="宋体"/>
          <w:b w:val="0"/>
          <w:i w:val="0"/>
          <w:color w:val="000000"/>
          <w:sz w:val="21"/>
        </w:rPr>
        <w:t>本文件中要求的条款结构并非用作记录组织方针、目标或过程的模板。当与组织质量管理体系相关的成文信息的结构和内容能够反映组织内部所使用的术语和过程时，对组织的使用者而言更为适用。</w:t>
      </w:r>
    </w:p>
    <w:p w14:paraId="70A3A513">
      <w:pPr>
        <w:keepNext/>
        <w:spacing w:before="60" w:after="0"/>
        <w:jc w:val="both"/>
      </w:pPr>
      <w:r>
        <w:rPr>
          <w:rFonts w:ascii="Times New Roman" w:hAnsi="Times New Roman" w:eastAsia="宋体"/>
          <w:b w:val="0"/>
          <w:i w:val="0"/>
          <w:color w:val="000000"/>
          <w:sz w:val="21"/>
        </w:rPr>
        <w:t>Lists within clauses are provided for clarity and ease of reference. The numbering of items in these lists is intended solely to support identification and citation. Unless expressly stated, the order of items in a list does not indicate any prescribed sequence, priority or relative importance. All listed items apply as written, regardless of their position.</w:t>
      </w:r>
    </w:p>
    <w:p w14:paraId="03E50F88">
      <w:pPr>
        <w:spacing w:before="0" w:after="100"/>
        <w:jc w:val="both"/>
      </w:pPr>
      <w:r>
        <w:rPr>
          <w:rFonts w:ascii="Times New Roman" w:hAnsi="Times New Roman" w:eastAsia="宋体"/>
          <w:b w:val="0"/>
          <w:i w:val="0"/>
          <w:color w:val="000000"/>
          <w:sz w:val="21"/>
        </w:rPr>
        <w:t>条款中提供的清单旨在便于清晰理解和引用。清单中项目的编号仅用于标识和引用。除非明确说明，清单中项目的顺序不表示任何规定的先后次序、优先级或相对重要性。所有列出的项目均按其文字表述适用，与项目的排列位置无关。</w:t>
      </w:r>
    </w:p>
    <w:p w14:paraId="06865E97">
      <w:pPr>
        <w:keepNext/>
        <w:spacing w:before="60" w:after="0"/>
        <w:jc w:val="both"/>
      </w:pPr>
      <w:r>
        <w:rPr>
          <w:rFonts w:ascii="Times New Roman" w:hAnsi="Times New Roman" w:eastAsia="宋体"/>
          <w:b w:val="0"/>
          <w:i w:val="0"/>
          <w:color w:val="000000"/>
          <w:sz w:val="21"/>
        </w:rPr>
        <w:t>To prevent misunderstanding, the meanings of the following words are clarified:</w:t>
      </w:r>
    </w:p>
    <w:p w14:paraId="4CB40B89">
      <w:pPr>
        <w:spacing w:before="0" w:after="100"/>
        <w:jc w:val="both"/>
      </w:pPr>
      <w:r>
        <w:rPr>
          <w:rFonts w:ascii="Times New Roman" w:hAnsi="Times New Roman" w:eastAsia="宋体"/>
          <w:b w:val="0"/>
          <w:i w:val="0"/>
          <w:color w:val="000000"/>
          <w:sz w:val="21"/>
        </w:rPr>
        <w:t>为防止误解，以下词语的含义予以澄清：</w:t>
      </w:r>
    </w:p>
    <w:p w14:paraId="0DE8B238">
      <w:pPr>
        <w:keepNext/>
        <w:spacing w:before="20" w:after="0"/>
        <w:ind w:left="357" w:hanging="357"/>
        <w:jc w:val="both"/>
      </w:pPr>
      <w:r>
        <w:rPr>
          <w:rFonts w:ascii="Times New Roman" w:hAnsi="Times New Roman" w:eastAsia="宋体"/>
          <w:b w:val="0"/>
          <w:i w:val="0"/>
          <w:color w:val="000000"/>
          <w:sz w:val="21"/>
        </w:rPr>
        <w:t>a) “Appropriate” and “applicable” are not interchangeable. “Appropriate” means suitable for the organization's context and involves judgement in determining what meets the requirement. “Applicable” means that if the requirement is determined to be relevant or possible, it applies to the organization. “As applicable” means that a requirement, even if generally applicable under 4.3, can be determined as not applicable in some situations.</w:t>
      </w:r>
    </w:p>
    <w:p w14:paraId="5E76BFDD">
      <w:pPr>
        <w:spacing w:before="0" w:after="60"/>
        <w:ind w:left="357" w:hanging="357"/>
        <w:jc w:val="both"/>
      </w:pPr>
      <w:r>
        <w:rPr>
          <w:rFonts w:ascii="Times New Roman" w:hAnsi="Times New Roman" w:eastAsia="宋体"/>
          <w:b w:val="0"/>
          <w:i w:val="0"/>
          <w:color w:val="000000"/>
          <w:sz w:val="21"/>
        </w:rPr>
        <w:t>“适宜的”（appropriate）与“适用的”（applicable）不可互换。“适宜”是指适合组织的环境，并涉及对何者满足要求作出判断。“适用”是指一旦某项要求被确定为相关或可能，即适用于组织。“适用时”（as applicable）是指某项要求即使依据4.3通常适用，在某些情况下也可确定为不适用。</w:t>
      </w:r>
    </w:p>
    <w:p w14:paraId="64F43006">
      <w:pPr>
        <w:keepNext/>
        <w:spacing w:before="20" w:after="0"/>
        <w:ind w:left="357" w:hanging="357"/>
        <w:jc w:val="both"/>
      </w:pPr>
      <w:r>
        <w:rPr>
          <w:rFonts w:ascii="Times New Roman" w:hAnsi="Times New Roman" w:eastAsia="宋体"/>
          <w:b w:val="0"/>
          <w:i w:val="0"/>
          <w:color w:val="000000"/>
          <w:sz w:val="21"/>
        </w:rPr>
        <w:t>b) “Consider” means the organization thinks about the topic to determine if it will be included in decisions or actions. “Take into account” means thinking about a topic and including it in decisions or actions.</w:t>
      </w:r>
    </w:p>
    <w:p w14:paraId="36458DFF">
      <w:pPr>
        <w:spacing w:before="0" w:after="60"/>
        <w:ind w:left="357" w:hanging="357"/>
        <w:jc w:val="both"/>
      </w:pPr>
      <w:r>
        <w:rPr>
          <w:rFonts w:ascii="Times New Roman" w:hAnsi="Times New Roman" w:eastAsia="宋体"/>
          <w:b w:val="0"/>
          <w:i w:val="0"/>
          <w:color w:val="000000"/>
          <w:sz w:val="21"/>
        </w:rPr>
        <w:t>“考虑”（consider）是指组织对某一主题加以思考，以确定是否将其纳入决策或行动。“考虑在内”（take into account）是指对某一主题加以思考并将其纳入决策或行动。</w:t>
      </w:r>
    </w:p>
    <w:p w14:paraId="594B51A0">
      <w:pPr>
        <w:keepNext/>
        <w:spacing w:before="20" w:after="0"/>
        <w:ind w:left="357" w:hanging="357"/>
        <w:jc w:val="both"/>
      </w:pPr>
      <w:r>
        <w:rPr>
          <w:rFonts w:ascii="Times New Roman" w:hAnsi="Times New Roman" w:eastAsia="宋体"/>
          <w:b w:val="0"/>
          <w:i w:val="0"/>
          <w:color w:val="000000"/>
          <w:sz w:val="21"/>
        </w:rPr>
        <w:t>c) “Continual” indicates duration that occurs over a period of time, but with intervals of interruption. The term “continuous” does not appear in this document but indicates duration without interruption. This difference is a common source of misunderstanding. “Continual” is the appropriate word to use when referring to improvement in the context of quality management.</w:t>
      </w:r>
    </w:p>
    <w:p w14:paraId="49669BD1">
      <w:pPr>
        <w:spacing w:before="0" w:after="60"/>
        <w:ind w:left="357" w:hanging="357"/>
        <w:jc w:val="both"/>
      </w:pPr>
      <w:r>
        <w:rPr>
          <w:rFonts w:ascii="Times New Roman" w:hAnsi="Times New Roman" w:eastAsia="宋体"/>
          <w:b w:val="0"/>
          <w:i w:val="0"/>
          <w:color w:val="000000"/>
          <w:sz w:val="21"/>
        </w:rPr>
        <w:t>“持续的”（continual）表示在一段时间内持续存在，但存在中断的间隔。“连续的”（continuous）一词未在本文件中出现，表示无中断的持续。这一区别是产生误解的常见原因。在质量管理语境中论及改进时，“持续”（continual）是恰当的用词。</w:t>
      </w:r>
    </w:p>
    <w:p w14:paraId="5699A557">
      <w:pPr>
        <w:keepNext/>
        <w:spacing w:before="20" w:after="0"/>
        <w:ind w:left="357" w:hanging="357"/>
        <w:jc w:val="both"/>
      </w:pPr>
      <w:r>
        <w:rPr>
          <w:rFonts w:ascii="Times New Roman" w:hAnsi="Times New Roman" w:eastAsia="宋体"/>
          <w:b w:val="0"/>
          <w:i w:val="0"/>
          <w:color w:val="000000"/>
          <w:sz w:val="21"/>
        </w:rPr>
        <w:t>d) “Ensure” means that there is a responsibility for making a specified result exist or occur. It refers to accountability for the result, and not to performing every related activity directly. Actions can be delegated and carried out by persons under the organization's control.</w:t>
      </w:r>
    </w:p>
    <w:p w14:paraId="1451C78E">
      <w:pPr>
        <w:spacing w:before="0" w:after="60"/>
        <w:ind w:left="357" w:hanging="357"/>
        <w:jc w:val="both"/>
      </w:pPr>
      <w:r>
        <w:rPr>
          <w:rFonts w:ascii="Times New Roman" w:hAnsi="Times New Roman" w:eastAsia="宋体"/>
          <w:b w:val="0"/>
          <w:i w:val="0"/>
          <w:color w:val="000000"/>
          <w:sz w:val="21"/>
        </w:rPr>
        <w:t>“确保”（ensure）是指负有使特定结果存在或发生的责任。其指的是对结果的责任，而非直接执行每一项相关活动。行动可被委派，并由组织控制下的人员实施。</w:t>
      </w:r>
    </w:p>
    <w:p w14:paraId="772861EE">
      <w:pPr>
        <w:keepNext/>
        <w:spacing w:before="20" w:after="0"/>
        <w:ind w:left="357" w:hanging="357"/>
        <w:jc w:val="both"/>
      </w:pPr>
      <w:r>
        <w:rPr>
          <w:rFonts w:ascii="Times New Roman" w:hAnsi="Times New Roman" w:eastAsia="宋体"/>
          <w:b w:val="0"/>
          <w:i w:val="0"/>
          <w:color w:val="000000"/>
          <w:sz w:val="21"/>
        </w:rPr>
        <w:t>e) “Shall be available as documented information” refers to availability of information obtained, used or provided by the organization. “Documented information shall be available as evidence of” refers to retention of objective evidence. “As evidence of” does not imply legal evidential requirements.</w:t>
      </w:r>
    </w:p>
    <w:p w14:paraId="752CA8AF">
      <w:pPr>
        <w:spacing w:before="0" w:after="60"/>
        <w:ind w:left="357" w:hanging="357"/>
        <w:jc w:val="both"/>
      </w:pPr>
      <w:r>
        <w:rPr>
          <w:rFonts w:ascii="Times New Roman" w:hAnsi="Times New Roman" w:eastAsia="宋体"/>
          <w:b w:val="0"/>
          <w:i w:val="0"/>
          <w:color w:val="000000"/>
          <w:sz w:val="21"/>
        </w:rPr>
        <w:t>“应作为成文信息可获得”（shall be available as documented information）是指组织所获取、使用或提供的信息的可获得性。“成文信息应作为……的证据可获得”（documented information shall be available as evidence of）是指保留客观证据。“作为……的证据”（as evidence of）并不意味着法律上的证据要求。</w:t>
      </w:r>
    </w:p>
    <w:p w14:paraId="37A1B850">
      <w:pPr>
        <w:keepNext/>
        <w:spacing w:before="20" w:after="0"/>
        <w:ind w:left="357" w:hanging="357"/>
        <w:jc w:val="both"/>
      </w:pPr>
      <w:r>
        <w:rPr>
          <w:rFonts w:ascii="Times New Roman" w:hAnsi="Times New Roman" w:eastAsia="宋体"/>
          <w:b w:val="0"/>
          <w:i w:val="0"/>
          <w:color w:val="000000"/>
          <w:sz w:val="21"/>
        </w:rPr>
        <w:t>f) “Strategic direction” refers to coordinated decisions, plans and actions that guide the organization towards achieving its objectives.</w:t>
      </w:r>
    </w:p>
    <w:p w14:paraId="6D7866C3">
      <w:pPr>
        <w:spacing w:before="0" w:after="60"/>
        <w:ind w:left="357" w:hanging="357"/>
        <w:jc w:val="both"/>
      </w:pPr>
      <w:r>
        <w:rPr>
          <w:rFonts w:ascii="Times New Roman" w:hAnsi="Times New Roman" w:eastAsia="宋体"/>
          <w:b w:val="0"/>
          <w:i w:val="0"/>
          <w:color w:val="000000"/>
          <w:sz w:val="21"/>
        </w:rPr>
        <w:t>“战略方向”是指引导组织实现其目标的协调一致的决策、计划和行动。</w:t>
      </w:r>
    </w:p>
    <w:p w14:paraId="355C5F30">
      <w:pPr>
        <w:keepNext/>
        <w:spacing w:before="20" w:after="0"/>
        <w:ind w:left="227"/>
        <w:jc w:val="both"/>
      </w:pPr>
      <w:r>
        <w:rPr>
          <w:rFonts w:ascii="Times New Roman" w:hAnsi="Times New Roman" w:eastAsia="宋体"/>
          <w:b w:val="0"/>
          <w:i/>
          <w:color w:val="000000"/>
          <w:sz w:val="20"/>
        </w:rPr>
        <w:t>NOTE 1 — See ISO 10013 for guidance on documented information.</w:t>
      </w:r>
    </w:p>
    <w:p w14:paraId="04D518A4">
      <w:pPr>
        <w:spacing w:before="0" w:after="100"/>
        <w:ind w:left="227"/>
        <w:jc w:val="both"/>
      </w:pPr>
      <w:r>
        <w:rPr>
          <w:rFonts w:ascii="Times New Roman" w:hAnsi="Times New Roman" w:eastAsia="宋体"/>
          <w:b w:val="0"/>
          <w:i w:val="0"/>
          <w:color w:val="000000"/>
          <w:sz w:val="20"/>
        </w:rPr>
        <w:t>注1：成文信息指南见ISO 10013。</w:t>
      </w:r>
    </w:p>
    <w:p w14:paraId="64E62F11">
      <w:pPr>
        <w:keepNext/>
        <w:spacing w:before="20" w:after="0"/>
        <w:ind w:left="227"/>
        <w:jc w:val="both"/>
      </w:pPr>
      <w:r>
        <w:rPr>
          <w:rFonts w:ascii="Times New Roman" w:hAnsi="Times New Roman" w:eastAsia="宋体"/>
          <w:b w:val="0"/>
          <w:i/>
          <w:color w:val="000000"/>
          <w:sz w:val="20"/>
        </w:rPr>
        <w:t>NOTE 2 — See the ISO 9000 Glossary for further information on the terminology used in this document.</w:t>
      </w:r>
    </w:p>
    <w:p w14:paraId="2963575E">
      <w:pPr>
        <w:spacing w:before="0" w:after="100"/>
        <w:ind w:left="227"/>
        <w:jc w:val="both"/>
      </w:pPr>
      <w:r>
        <w:rPr>
          <w:rFonts w:ascii="Times New Roman" w:hAnsi="Times New Roman" w:eastAsia="宋体"/>
          <w:b w:val="0"/>
          <w:i w:val="0"/>
          <w:color w:val="000000"/>
          <w:sz w:val="20"/>
        </w:rPr>
        <w:t>注2：有关本文件所用术语的更多信息，见ISO 9000词汇。</w:t>
      </w:r>
    </w:p>
    <w:p w14:paraId="2C4E21AB">
      <w:pPr>
        <w:keepNext/>
        <w:spacing w:before="200" w:after="0"/>
        <w:jc w:val="left"/>
      </w:pPr>
      <w:r>
        <w:rPr>
          <w:rFonts w:ascii="Times New Roman" w:hAnsi="Times New Roman" w:eastAsia="宋体"/>
          <w:b/>
          <w:i w:val="0"/>
          <w:color w:val="000000"/>
          <w:sz w:val="22"/>
        </w:rPr>
        <w:t>A.3  Applicability</w:t>
      </w:r>
    </w:p>
    <w:p w14:paraId="514DD188">
      <w:pPr>
        <w:spacing w:before="0" w:after="80"/>
        <w:jc w:val="left"/>
      </w:pPr>
      <w:r>
        <w:rPr>
          <w:rFonts w:ascii="Times New Roman" w:hAnsi="Times New Roman" w:eastAsia="黑体"/>
          <w:b w:val="0"/>
          <w:i w:val="0"/>
          <w:color w:val="000000"/>
          <w:sz w:val="22"/>
        </w:rPr>
        <w:t>A.3  适用性</w:t>
      </w:r>
    </w:p>
    <w:p w14:paraId="65E77805">
      <w:pPr>
        <w:keepNext/>
        <w:spacing w:before="60" w:after="0"/>
        <w:jc w:val="both"/>
      </w:pPr>
      <w:r>
        <w:rPr>
          <w:rFonts w:ascii="Times New Roman" w:hAnsi="Times New Roman" w:eastAsia="宋体"/>
          <w:b w:val="0"/>
          <w:i w:val="0"/>
          <w:color w:val="000000"/>
          <w:sz w:val="21"/>
        </w:rPr>
        <w:t>A requirement can be determined as not applicable to the quality management system only if this does not affect the organization's ability to ensure conformity of products and services, enhance customer satisfaction or fulfil applicable statutory and regulatory obligations. The term “not applicable” reflects that the organization has considered the requirement and determined, with justification, that it does not apply in the context of its quality management system.</w:t>
      </w:r>
    </w:p>
    <w:p w14:paraId="3887A8DB">
      <w:pPr>
        <w:spacing w:before="0" w:after="100"/>
        <w:jc w:val="both"/>
      </w:pPr>
      <w:r>
        <w:rPr>
          <w:rFonts w:ascii="Times New Roman" w:hAnsi="Times New Roman" w:eastAsia="宋体"/>
          <w:b w:val="0"/>
          <w:i w:val="0"/>
          <w:color w:val="000000"/>
          <w:sz w:val="21"/>
        </w:rPr>
        <w:t>只有当某项要求确定为不适用不会影响组织确保产品和服务合格、增强顾客满意或履行适用的法律法规义务的能力时，方可将该要求确定为不适用于质量管理体系。“不适用”这一表述表明组织已对该要求予以考虑，并经论证确定其不适用于其质量管理体系的情境。</w:t>
      </w:r>
    </w:p>
    <w:p w14:paraId="03E61955">
      <w:pPr>
        <w:keepNext/>
        <w:spacing w:before="60" w:after="0"/>
        <w:jc w:val="both"/>
      </w:pPr>
      <w:r>
        <w:rPr>
          <w:rFonts w:ascii="Times New Roman" w:hAnsi="Times New Roman" w:eastAsia="宋体"/>
          <w:b w:val="0"/>
          <w:i w:val="0"/>
          <w:color w:val="000000"/>
          <w:sz w:val="21"/>
        </w:rPr>
        <w:t>See 4.3 for requirements for applicability and scope.</w:t>
      </w:r>
    </w:p>
    <w:p w14:paraId="25A57203">
      <w:pPr>
        <w:spacing w:before="0" w:after="100"/>
        <w:jc w:val="both"/>
      </w:pPr>
      <w:r>
        <w:rPr>
          <w:rFonts w:ascii="Times New Roman" w:hAnsi="Times New Roman" w:eastAsia="宋体"/>
          <w:b w:val="0"/>
          <w:i w:val="0"/>
          <w:color w:val="000000"/>
          <w:sz w:val="21"/>
        </w:rPr>
        <w:t>有关适用性和范围的要求见4.3。</w:t>
      </w:r>
    </w:p>
    <w:p w14:paraId="6B504E19">
      <w:pPr>
        <w:keepNext/>
        <w:spacing w:before="200" w:after="0"/>
        <w:jc w:val="left"/>
      </w:pPr>
      <w:r>
        <w:rPr>
          <w:rFonts w:ascii="Times New Roman" w:hAnsi="Times New Roman" w:eastAsia="宋体"/>
          <w:b/>
          <w:i w:val="0"/>
          <w:color w:val="000000"/>
          <w:sz w:val="22"/>
        </w:rPr>
        <w:t>A.4  Context of the organization</w:t>
      </w:r>
    </w:p>
    <w:p w14:paraId="5B8BBA7E">
      <w:pPr>
        <w:spacing w:before="0" w:after="80"/>
        <w:jc w:val="left"/>
      </w:pPr>
      <w:r>
        <w:rPr>
          <w:rFonts w:ascii="Times New Roman" w:hAnsi="Times New Roman" w:eastAsia="黑体"/>
          <w:b w:val="0"/>
          <w:i w:val="0"/>
          <w:color w:val="000000"/>
          <w:sz w:val="22"/>
        </w:rPr>
        <w:t>A.4  组织环境</w:t>
      </w:r>
    </w:p>
    <w:p w14:paraId="2F2EBCC8">
      <w:pPr>
        <w:keepNext/>
        <w:spacing w:before="160" w:after="0"/>
        <w:jc w:val="left"/>
      </w:pPr>
      <w:r>
        <w:rPr>
          <w:rFonts w:ascii="Times New Roman" w:hAnsi="Times New Roman" w:eastAsia="宋体"/>
          <w:b/>
          <w:i w:val="0"/>
          <w:color w:val="000000"/>
          <w:sz w:val="21"/>
        </w:rPr>
        <w:t>A.4.1  Understanding the organization and its context</w:t>
      </w:r>
    </w:p>
    <w:p w14:paraId="502492F4">
      <w:pPr>
        <w:spacing w:before="0" w:after="80"/>
        <w:jc w:val="left"/>
      </w:pPr>
      <w:r>
        <w:rPr>
          <w:rFonts w:ascii="Times New Roman" w:hAnsi="Times New Roman" w:eastAsia="黑体"/>
          <w:b w:val="0"/>
          <w:i w:val="0"/>
          <w:color w:val="000000"/>
          <w:sz w:val="21"/>
        </w:rPr>
        <w:t>A.4.1  理解组织及其环境</w:t>
      </w:r>
    </w:p>
    <w:p w14:paraId="51D8A1C5">
      <w:pPr>
        <w:keepNext/>
        <w:spacing w:before="60" w:after="0"/>
        <w:jc w:val="both"/>
      </w:pPr>
      <w:r>
        <w:rPr>
          <w:rFonts w:ascii="Times New Roman" w:hAnsi="Times New Roman" w:eastAsia="宋体"/>
          <w:b w:val="0"/>
          <w:i w:val="0"/>
          <w:color w:val="000000"/>
          <w:sz w:val="21"/>
        </w:rPr>
        <w:t>External and internal issues form part of the organization's context. They can arise from factors that influence the organization's purpose, strategic direction or conditions under which it operates. Understanding these issues can support how the quality management system is established and maintained to consistently achieve its intended results.</w:t>
      </w:r>
    </w:p>
    <w:p w14:paraId="17884812">
      <w:pPr>
        <w:spacing w:before="0" w:after="100"/>
        <w:jc w:val="both"/>
      </w:pPr>
      <w:r>
        <w:rPr>
          <w:rFonts w:ascii="Times New Roman" w:hAnsi="Times New Roman" w:eastAsia="宋体"/>
          <w:b w:val="0"/>
          <w:i w:val="0"/>
          <w:color w:val="000000"/>
          <w:sz w:val="21"/>
        </w:rPr>
        <w:t>外部和内部因素构成组织环境的一部分。它们可能源于影响组织宗旨、战略方向或运行条件的因素。理解这些因素，有助于质量管理体系得到建立和保持，以持续实现其预期结果。</w:t>
      </w:r>
    </w:p>
    <w:p w14:paraId="7323835F">
      <w:pPr>
        <w:keepNext/>
        <w:spacing w:before="60" w:after="0"/>
        <w:jc w:val="both"/>
      </w:pPr>
      <w:r>
        <w:rPr>
          <w:rFonts w:ascii="Times New Roman" w:hAnsi="Times New Roman" w:eastAsia="宋体"/>
          <w:b w:val="0"/>
          <w:i w:val="0"/>
          <w:color w:val="000000"/>
          <w:sz w:val="21"/>
        </w:rPr>
        <w:t>External and internal issues change over time. Awareness of changes can support maintaining the effectiveness of the quality management system.</w:t>
      </w:r>
    </w:p>
    <w:p w14:paraId="0CAA2758">
      <w:pPr>
        <w:spacing w:before="0" w:after="100"/>
        <w:jc w:val="both"/>
      </w:pPr>
      <w:r>
        <w:rPr>
          <w:rFonts w:ascii="Times New Roman" w:hAnsi="Times New Roman" w:eastAsia="宋体"/>
          <w:b w:val="0"/>
          <w:i w:val="0"/>
          <w:color w:val="000000"/>
          <w:sz w:val="21"/>
        </w:rPr>
        <w:t>外部和内部因素会随时间发生变化。对这些变化的意识有助于保持质量管理体系的有效性。</w:t>
      </w:r>
    </w:p>
    <w:p w14:paraId="6EBBB9E7">
      <w:pPr>
        <w:keepNext/>
        <w:spacing w:before="160" w:after="0"/>
        <w:jc w:val="left"/>
      </w:pPr>
      <w:r>
        <w:rPr>
          <w:rFonts w:ascii="Times New Roman" w:hAnsi="Times New Roman" w:eastAsia="宋体"/>
          <w:b/>
          <w:i w:val="0"/>
          <w:color w:val="000000"/>
          <w:sz w:val="21"/>
        </w:rPr>
        <w:t>A.4.2  Understanding the needs and expectations of interested parties</w:t>
      </w:r>
    </w:p>
    <w:p w14:paraId="527835F2">
      <w:pPr>
        <w:spacing w:before="0" w:after="80"/>
        <w:jc w:val="left"/>
      </w:pPr>
      <w:r>
        <w:rPr>
          <w:rFonts w:ascii="Times New Roman" w:hAnsi="Times New Roman" w:eastAsia="黑体"/>
          <w:b w:val="0"/>
          <w:i w:val="0"/>
          <w:color w:val="000000"/>
          <w:sz w:val="21"/>
        </w:rPr>
        <w:t>A.4.2  理解相关方的需求和期望</w:t>
      </w:r>
    </w:p>
    <w:p w14:paraId="32897F38">
      <w:pPr>
        <w:keepNext/>
        <w:spacing w:before="60" w:after="0"/>
        <w:jc w:val="both"/>
      </w:pPr>
      <w:r>
        <w:rPr>
          <w:rFonts w:ascii="Times New Roman" w:hAnsi="Times New Roman" w:eastAsia="宋体"/>
          <w:b w:val="0"/>
          <w:i w:val="0"/>
          <w:color w:val="000000"/>
          <w:sz w:val="21"/>
        </w:rPr>
        <w:t>Understanding the needs and expectations of interested parties involves determining which interested parties are relevant to the quality management system and determining their relevant requirements. When these requirements are considered relevant by the organization, they are included within the boundaries of the quality management system. Where externally provided processes, products and services are relevant, requirements of external providers can also apply.</w:t>
      </w:r>
    </w:p>
    <w:p w14:paraId="23D3B909">
      <w:pPr>
        <w:spacing w:before="0" w:after="100"/>
        <w:jc w:val="both"/>
      </w:pPr>
      <w:r>
        <w:rPr>
          <w:rFonts w:ascii="Times New Roman" w:hAnsi="Times New Roman" w:eastAsia="宋体"/>
          <w:b w:val="0"/>
          <w:i w:val="0"/>
          <w:color w:val="000000"/>
          <w:sz w:val="21"/>
        </w:rPr>
        <w:t>理解相关方的需求和期望，包括确定哪些相关方与质量管理体系相关，并确定其相关要求。当组织认为这些要求相关时，应将其纳入质量管理体系的边界之内。当外部提供的过程、产品和服务相关时，外部供方的要求也同样适用。</w:t>
      </w:r>
    </w:p>
    <w:p w14:paraId="397F02C5">
      <w:pPr>
        <w:keepNext/>
        <w:spacing w:before="60" w:after="0"/>
        <w:jc w:val="both"/>
      </w:pPr>
      <w:r>
        <w:rPr>
          <w:rFonts w:ascii="Times New Roman" w:hAnsi="Times New Roman" w:eastAsia="宋体"/>
          <w:b w:val="0"/>
          <w:i w:val="0"/>
          <w:color w:val="000000"/>
          <w:sz w:val="21"/>
        </w:rPr>
        <w:t>Interested parties and their requirements can change over time, so awareness of these changes is part of maintaining the effectiveness of the quality management system.</w:t>
      </w:r>
    </w:p>
    <w:p w14:paraId="483AD43A">
      <w:pPr>
        <w:spacing w:before="0" w:after="100"/>
        <w:jc w:val="both"/>
      </w:pPr>
      <w:r>
        <w:rPr>
          <w:rFonts w:ascii="Times New Roman" w:hAnsi="Times New Roman" w:eastAsia="宋体"/>
          <w:b w:val="0"/>
          <w:i w:val="0"/>
          <w:color w:val="000000"/>
          <w:sz w:val="21"/>
        </w:rPr>
        <w:t>相关方及其要求会随时间发生变化，因此对这些变化的意识是保持质量管理体系有效性的组成部分。</w:t>
      </w:r>
    </w:p>
    <w:p w14:paraId="654AB148">
      <w:pPr>
        <w:keepNext/>
        <w:spacing w:before="60" w:after="0"/>
        <w:jc w:val="both"/>
      </w:pPr>
      <w:r>
        <w:rPr>
          <w:rFonts w:ascii="Times New Roman" w:hAnsi="Times New Roman" w:eastAsia="宋体"/>
          <w:b w:val="0"/>
          <w:i w:val="0"/>
          <w:color w:val="000000"/>
          <w:sz w:val="21"/>
        </w:rPr>
        <w:t>Expectations relating to climate change can influence interested party requirements in areas such as regulatory compliance, customer requirements and organizational commitments. Where these expectations are relevant, they form part of the context for planning and operating the quality management system.</w:t>
      </w:r>
    </w:p>
    <w:p w14:paraId="71D04877">
      <w:pPr>
        <w:spacing w:before="0" w:after="100"/>
        <w:jc w:val="both"/>
      </w:pPr>
      <w:r>
        <w:rPr>
          <w:rFonts w:ascii="Times New Roman" w:hAnsi="Times New Roman" w:eastAsia="宋体"/>
          <w:b w:val="0"/>
          <w:i w:val="0"/>
          <w:color w:val="000000"/>
          <w:sz w:val="21"/>
        </w:rPr>
        <w:t>与气候变化相关的期望可能在法规遵从、顾客要求和组织承诺等领域影响相关方的要求。当这些期望相关时，它们构成策划和运行质量管理体系的情境的一部分。</w:t>
      </w:r>
    </w:p>
    <w:p w14:paraId="512028D6">
      <w:pPr>
        <w:keepNext/>
        <w:spacing w:before="160" w:after="0"/>
        <w:jc w:val="left"/>
      </w:pPr>
      <w:r>
        <w:rPr>
          <w:rFonts w:ascii="Times New Roman" w:hAnsi="Times New Roman" w:eastAsia="宋体"/>
          <w:b/>
          <w:i w:val="0"/>
          <w:color w:val="000000"/>
          <w:sz w:val="21"/>
        </w:rPr>
        <w:t>A.4.3  Determining the scope of the quality management system</w:t>
      </w:r>
    </w:p>
    <w:p w14:paraId="74F1749A">
      <w:pPr>
        <w:spacing w:before="0" w:after="80"/>
        <w:jc w:val="left"/>
      </w:pPr>
      <w:r>
        <w:rPr>
          <w:rFonts w:ascii="Times New Roman" w:hAnsi="Times New Roman" w:eastAsia="黑体"/>
          <w:b w:val="0"/>
          <w:i w:val="0"/>
          <w:color w:val="000000"/>
          <w:sz w:val="21"/>
        </w:rPr>
        <w:t>A.4.3  确定质量管理体系的范围</w:t>
      </w:r>
    </w:p>
    <w:p w14:paraId="373AC219">
      <w:pPr>
        <w:keepNext/>
        <w:spacing w:before="60" w:after="0"/>
        <w:jc w:val="both"/>
      </w:pPr>
      <w:r>
        <w:rPr>
          <w:rFonts w:ascii="Times New Roman" w:hAnsi="Times New Roman" w:eastAsia="宋体"/>
          <w:b w:val="0"/>
          <w:i w:val="0"/>
          <w:color w:val="000000"/>
          <w:sz w:val="21"/>
        </w:rPr>
        <w:t>To enable clear determination, the scope of the quality management system defines the types of activities, products and services covered and related sites where these activities are performed, noting that individual sites can have specific scopes if applicable.</w:t>
      </w:r>
    </w:p>
    <w:p w14:paraId="3D6BD96A">
      <w:pPr>
        <w:spacing w:before="0" w:after="100"/>
        <w:jc w:val="both"/>
      </w:pPr>
      <w:r>
        <w:rPr>
          <w:rFonts w:ascii="Times New Roman" w:hAnsi="Times New Roman" w:eastAsia="宋体"/>
          <w:b w:val="0"/>
          <w:i w:val="0"/>
          <w:color w:val="000000"/>
          <w:sz w:val="21"/>
        </w:rPr>
        <w:t>为便于清晰界定，质量管理体系的范围界定了所覆盖的活动、产品和服务的类型，以及实施这些活动的相关场所；并注意适用时个别场所可有特定的范围。</w:t>
      </w:r>
    </w:p>
    <w:p w14:paraId="5969A897">
      <w:pPr>
        <w:keepNext/>
        <w:spacing w:before="60" w:after="0"/>
        <w:jc w:val="both"/>
      </w:pPr>
      <w:r>
        <w:rPr>
          <w:rFonts w:ascii="Times New Roman" w:hAnsi="Times New Roman" w:eastAsia="宋体"/>
          <w:b w:val="0"/>
          <w:i w:val="0"/>
          <w:color w:val="000000"/>
          <w:sz w:val="21"/>
        </w:rPr>
        <w:t>The boundaries of the quality management system can be influenced by specific customer requirements.</w:t>
      </w:r>
    </w:p>
    <w:p w14:paraId="3C762E9C">
      <w:pPr>
        <w:spacing w:before="0" w:after="100"/>
        <w:jc w:val="both"/>
      </w:pPr>
      <w:r>
        <w:rPr>
          <w:rFonts w:ascii="Times New Roman" w:hAnsi="Times New Roman" w:eastAsia="宋体"/>
          <w:b w:val="0"/>
          <w:i w:val="0"/>
          <w:color w:val="000000"/>
          <w:sz w:val="21"/>
        </w:rPr>
        <w:t>质量管理体系的边界可能受特定顾客要求的影响。</w:t>
      </w:r>
    </w:p>
    <w:p w14:paraId="057F54B9">
      <w:pPr>
        <w:keepNext/>
        <w:spacing w:before="60" w:after="0"/>
        <w:jc w:val="both"/>
      </w:pPr>
      <w:r>
        <w:rPr>
          <w:rFonts w:ascii="Times New Roman" w:hAnsi="Times New Roman" w:eastAsia="宋体"/>
          <w:b w:val="0"/>
          <w:i w:val="0"/>
          <w:color w:val="000000"/>
          <w:sz w:val="21"/>
        </w:rPr>
        <w:t>If the organization is part of a larger entity, the organizational boundaries of the system can be defined. These boundaries can affect the quality management system.</w:t>
      </w:r>
    </w:p>
    <w:p w14:paraId="3CDB3D1F">
      <w:pPr>
        <w:spacing w:before="0" w:after="100"/>
        <w:jc w:val="both"/>
      </w:pPr>
      <w:r>
        <w:rPr>
          <w:rFonts w:ascii="Times New Roman" w:hAnsi="Times New Roman" w:eastAsia="宋体"/>
          <w:b w:val="0"/>
          <w:i w:val="0"/>
          <w:color w:val="000000"/>
          <w:sz w:val="21"/>
        </w:rPr>
        <w:t>如果组织是较大实体的一部分，则可确定体系的组织边界。这些边界可能影响质量管理体系。</w:t>
      </w:r>
    </w:p>
    <w:p w14:paraId="53F97842">
      <w:pPr>
        <w:keepNext/>
        <w:spacing w:before="160" w:after="0"/>
        <w:jc w:val="left"/>
      </w:pPr>
      <w:r>
        <w:rPr>
          <w:rFonts w:ascii="Times New Roman" w:hAnsi="Times New Roman" w:eastAsia="宋体"/>
          <w:b/>
          <w:i w:val="0"/>
          <w:color w:val="000000"/>
          <w:sz w:val="21"/>
        </w:rPr>
        <w:t>A.4.4  Quality management system</w:t>
      </w:r>
    </w:p>
    <w:p w14:paraId="2C67DE5E">
      <w:pPr>
        <w:spacing w:before="0" w:after="80"/>
        <w:jc w:val="left"/>
      </w:pPr>
      <w:r>
        <w:rPr>
          <w:rFonts w:ascii="Times New Roman" w:hAnsi="Times New Roman" w:eastAsia="黑体"/>
          <w:b w:val="0"/>
          <w:i w:val="0"/>
          <w:color w:val="000000"/>
          <w:sz w:val="21"/>
        </w:rPr>
        <w:t>A.4.4  质量管理体系</w:t>
      </w:r>
    </w:p>
    <w:p w14:paraId="3B37D52F">
      <w:pPr>
        <w:keepNext/>
        <w:spacing w:before="60" w:after="0"/>
        <w:jc w:val="both"/>
      </w:pPr>
      <w:r>
        <w:rPr>
          <w:rFonts w:ascii="Times New Roman" w:hAnsi="Times New Roman" w:eastAsia="宋体"/>
          <w:b w:val="0"/>
          <w:i w:val="0"/>
          <w:color w:val="000000"/>
          <w:sz w:val="21"/>
        </w:rPr>
        <w:t>Subclause 4.4 is linked to the quality management principle of “process approach” which incorporates the PDCA cycle, risk-based thinking and opportunity-based thinking.</w:t>
      </w:r>
    </w:p>
    <w:p w14:paraId="31B8CFE8">
      <w:pPr>
        <w:spacing w:before="0" w:after="100"/>
        <w:jc w:val="both"/>
      </w:pPr>
      <w:r>
        <w:rPr>
          <w:rFonts w:ascii="Times New Roman" w:hAnsi="Times New Roman" w:eastAsia="宋体"/>
          <w:b w:val="0"/>
          <w:i w:val="0"/>
          <w:color w:val="000000"/>
          <w:sz w:val="21"/>
        </w:rPr>
        <w:t>子条款4.4与“过程方法”质量管理原则相关联，该原则涵盖了PDCA循环、基于风险的思维和基于机遇的思维。</w:t>
      </w:r>
    </w:p>
    <w:p w14:paraId="7EE101E6">
      <w:pPr>
        <w:keepNext/>
        <w:spacing w:before="60" w:after="0"/>
        <w:jc w:val="both"/>
      </w:pPr>
      <w:r>
        <w:rPr>
          <w:rFonts w:ascii="Times New Roman" w:hAnsi="Times New Roman" w:eastAsia="宋体"/>
          <w:b w:val="0"/>
          <w:i w:val="0"/>
          <w:color w:val="000000"/>
          <w:sz w:val="21"/>
        </w:rPr>
        <w:t>The processes referred to in 4.4 include all processes necessary to form a coherent and aligned quality management system that fulfils the requirements of this document.</w:t>
      </w:r>
    </w:p>
    <w:p w14:paraId="2330479B">
      <w:pPr>
        <w:spacing w:before="0" w:after="100"/>
        <w:jc w:val="both"/>
      </w:pPr>
      <w:r>
        <w:rPr>
          <w:rFonts w:ascii="Times New Roman" w:hAnsi="Times New Roman" w:eastAsia="宋体"/>
          <w:b w:val="0"/>
          <w:i w:val="0"/>
          <w:color w:val="000000"/>
          <w:sz w:val="21"/>
        </w:rPr>
        <w:t>4.4中所述的过程包括形成协调一致、满足本文件要求的质量管理体系所需的全部过程。</w:t>
      </w:r>
    </w:p>
    <w:p w14:paraId="4E882E8A">
      <w:pPr>
        <w:keepNext/>
        <w:spacing w:before="60" w:after="0"/>
        <w:jc w:val="both"/>
      </w:pPr>
      <w:r>
        <w:rPr>
          <w:rFonts w:ascii="Times New Roman" w:hAnsi="Times New Roman" w:eastAsia="宋体"/>
          <w:b w:val="0"/>
          <w:i w:val="0"/>
          <w:color w:val="000000"/>
          <w:sz w:val="21"/>
        </w:rPr>
        <w:t>Each process has defined inputs, expected outputs, responsibilities and authorities. Understanding the sequence and interaction of quality management system processes can support alignment with other organizational processes.</w:t>
      </w:r>
    </w:p>
    <w:p w14:paraId="016D5821">
      <w:pPr>
        <w:spacing w:before="0" w:after="100"/>
        <w:jc w:val="both"/>
      </w:pPr>
      <w:r>
        <w:rPr>
          <w:rFonts w:ascii="Times New Roman" w:hAnsi="Times New Roman" w:eastAsia="宋体"/>
          <w:b w:val="0"/>
          <w:i w:val="0"/>
          <w:color w:val="000000"/>
          <w:sz w:val="21"/>
        </w:rPr>
        <w:t>每个过程都有确定的输入、期望的输出、职责和权限。理解质量管理体系过程的顺序和相互作用，有助于与其他组织过程保持一致。</w:t>
      </w:r>
    </w:p>
    <w:p w14:paraId="42AC37DA">
      <w:pPr>
        <w:keepNext/>
        <w:spacing w:before="60" w:after="0"/>
        <w:jc w:val="both"/>
      </w:pPr>
      <w:r>
        <w:rPr>
          <w:rFonts w:ascii="Times New Roman" w:hAnsi="Times New Roman" w:eastAsia="宋体"/>
          <w:b w:val="0"/>
          <w:i w:val="0"/>
          <w:color w:val="000000"/>
          <w:sz w:val="21"/>
        </w:rPr>
        <w:t>Evaluation of processes addresses their continuing suitability, adequacy and effectiveness, which can be influenced by changes in objectives or internal and external circumstances.</w:t>
      </w:r>
    </w:p>
    <w:p w14:paraId="1FCBB0C0">
      <w:pPr>
        <w:spacing w:before="0" w:after="100"/>
        <w:jc w:val="both"/>
      </w:pPr>
      <w:r>
        <w:rPr>
          <w:rFonts w:ascii="Times New Roman" w:hAnsi="Times New Roman" w:eastAsia="宋体"/>
          <w:b w:val="0"/>
          <w:i w:val="0"/>
          <w:color w:val="000000"/>
          <w:sz w:val="21"/>
        </w:rPr>
        <w:t>过程的评价涉及过程持续的适宜性、充分性和有效性，这些可能受目标变化或内部和外部环境变化的影响。</w:t>
      </w:r>
    </w:p>
    <w:p w14:paraId="138AB30A">
      <w:pPr>
        <w:keepNext/>
        <w:spacing w:before="60" w:after="0"/>
        <w:jc w:val="both"/>
      </w:pPr>
      <w:r>
        <w:rPr>
          <w:rFonts w:ascii="Times New Roman" w:hAnsi="Times New Roman" w:eastAsia="宋体"/>
          <w:b w:val="0"/>
          <w:i w:val="0"/>
          <w:color w:val="000000"/>
          <w:sz w:val="21"/>
        </w:rPr>
        <w:t>Processes and their interactions can be modified in a controlled manner to maintain and improve quality management system effectiveness.</w:t>
      </w:r>
    </w:p>
    <w:p w14:paraId="697BC776">
      <w:pPr>
        <w:spacing w:before="0" w:after="100"/>
        <w:jc w:val="both"/>
      </w:pPr>
      <w:r>
        <w:rPr>
          <w:rFonts w:ascii="Times New Roman" w:hAnsi="Times New Roman" w:eastAsia="宋体"/>
          <w:b w:val="0"/>
          <w:i w:val="0"/>
          <w:color w:val="000000"/>
          <w:sz w:val="21"/>
        </w:rPr>
        <w:t>过程及其相互作用可以受控的方式加以修改，以保持和改进质量管理体系的有效性。</w:t>
      </w:r>
    </w:p>
    <w:p w14:paraId="7EA8BFAC">
      <w:pPr>
        <w:keepNext/>
        <w:spacing w:before="60" w:after="0"/>
        <w:jc w:val="both"/>
      </w:pPr>
      <w:r>
        <w:rPr>
          <w:rFonts w:ascii="Times New Roman" w:hAnsi="Times New Roman" w:eastAsia="宋体"/>
          <w:b w:val="0"/>
          <w:i w:val="0"/>
          <w:color w:val="000000"/>
          <w:sz w:val="21"/>
        </w:rPr>
        <w:t>Evidence that processes operate as intended can be demonstrated through documented information, although such documentation is not always necessary to demonstrate conformity. The organization determines which processes require documented information and the level of detail.</w:t>
      </w:r>
    </w:p>
    <w:p w14:paraId="5E383D0C">
      <w:pPr>
        <w:spacing w:before="0" w:after="100"/>
        <w:jc w:val="both"/>
      </w:pPr>
      <w:r>
        <w:rPr>
          <w:rFonts w:ascii="Times New Roman" w:hAnsi="Times New Roman" w:eastAsia="宋体"/>
          <w:b w:val="0"/>
          <w:i w:val="0"/>
          <w:color w:val="000000"/>
          <w:sz w:val="21"/>
        </w:rPr>
        <w:t>过程按预期运行的证据可通过成文信息予以证实，但此类成文信息并非证实符合性所必需。组织应确定哪些过程需要成文信息及其详略程度。</w:t>
      </w:r>
    </w:p>
    <w:p w14:paraId="61385288">
      <w:pPr>
        <w:keepNext/>
        <w:spacing w:before="200" w:after="0"/>
        <w:jc w:val="left"/>
      </w:pPr>
      <w:r>
        <w:rPr>
          <w:rFonts w:ascii="Times New Roman" w:hAnsi="Times New Roman" w:eastAsia="宋体"/>
          <w:b/>
          <w:i w:val="0"/>
          <w:color w:val="000000"/>
          <w:sz w:val="22"/>
        </w:rPr>
        <w:t>A.5  Leadership</w:t>
      </w:r>
    </w:p>
    <w:p w14:paraId="52A93E4D">
      <w:pPr>
        <w:spacing w:before="0" w:after="80"/>
        <w:jc w:val="left"/>
      </w:pPr>
      <w:r>
        <w:rPr>
          <w:rFonts w:ascii="Times New Roman" w:hAnsi="Times New Roman" w:eastAsia="黑体"/>
          <w:b w:val="0"/>
          <w:i w:val="0"/>
          <w:color w:val="000000"/>
          <w:sz w:val="22"/>
        </w:rPr>
        <w:t>A.5  领导作用</w:t>
      </w:r>
    </w:p>
    <w:p w14:paraId="6C374A73">
      <w:pPr>
        <w:keepNext/>
        <w:spacing w:before="160" w:after="0"/>
        <w:jc w:val="left"/>
      </w:pPr>
      <w:r>
        <w:rPr>
          <w:rFonts w:ascii="Times New Roman" w:hAnsi="Times New Roman" w:eastAsia="宋体"/>
          <w:b/>
          <w:i w:val="0"/>
          <w:color w:val="000000"/>
          <w:sz w:val="21"/>
        </w:rPr>
        <w:t>A.5.1  Leadership and commitment</w:t>
      </w:r>
    </w:p>
    <w:p w14:paraId="007945A2">
      <w:pPr>
        <w:spacing w:before="0" w:after="80"/>
        <w:jc w:val="left"/>
      </w:pPr>
      <w:r>
        <w:rPr>
          <w:rFonts w:ascii="Times New Roman" w:hAnsi="Times New Roman" w:eastAsia="黑体"/>
          <w:b w:val="0"/>
          <w:i w:val="0"/>
          <w:color w:val="000000"/>
          <w:sz w:val="21"/>
        </w:rPr>
        <w:t>A.5.1  领导作用和承诺</w:t>
      </w:r>
    </w:p>
    <w:p w14:paraId="4D2359BE">
      <w:pPr>
        <w:keepNext/>
        <w:spacing w:before="60" w:after="0"/>
        <w:jc w:val="both"/>
      </w:pPr>
      <w:r>
        <w:rPr>
          <w:rFonts w:ascii="Times New Roman" w:hAnsi="Times New Roman" w:eastAsia="宋体"/>
          <w:b w:val="0"/>
          <w:i w:val="0"/>
          <w:color w:val="000000"/>
          <w:sz w:val="21"/>
        </w:rPr>
        <w:t>Visible support, involvement and commitment from the organization's top management demonstrate the organization's priority for quality and support the effective implementation of the quality management system.</w:t>
      </w:r>
    </w:p>
    <w:p w14:paraId="63D37C71">
      <w:pPr>
        <w:spacing w:before="0" w:after="100"/>
        <w:jc w:val="both"/>
      </w:pPr>
      <w:r>
        <w:rPr>
          <w:rFonts w:ascii="Times New Roman" w:hAnsi="Times New Roman" w:eastAsia="宋体"/>
          <w:b w:val="0"/>
          <w:i w:val="0"/>
          <w:color w:val="000000"/>
          <w:sz w:val="21"/>
        </w:rPr>
        <w:t>组织最高管理者的可见的支持、参与和承诺，表明组织对质量的重视，并支持质量管理体系的有效实施。</w:t>
      </w:r>
    </w:p>
    <w:p w14:paraId="712CFC90">
      <w:pPr>
        <w:keepNext/>
        <w:spacing w:before="60" w:after="0"/>
        <w:jc w:val="both"/>
      </w:pPr>
      <w:r>
        <w:rPr>
          <w:rFonts w:ascii="Times New Roman" w:hAnsi="Times New Roman" w:eastAsia="宋体"/>
          <w:b w:val="0"/>
          <w:i w:val="0"/>
          <w:color w:val="000000"/>
          <w:sz w:val="21"/>
        </w:rPr>
        <w:t>Top management plays a key role in promoting quality culture and awareness of the quality management system across the organization.</w:t>
      </w:r>
    </w:p>
    <w:p w14:paraId="7088DF71">
      <w:pPr>
        <w:spacing w:before="0" w:after="100"/>
        <w:jc w:val="both"/>
      </w:pPr>
      <w:r>
        <w:rPr>
          <w:rFonts w:ascii="Times New Roman" w:hAnsi="Times New Roman" w:eastAsia="宋体"/>
          <w:b w:val="0"/>
          <w:i w:val="0"/>
          <w:color w:val="000000"/>
          <w:sz w:val="21"/>
        </w:rPr>
        <w:t>最高管理者在促进质量文化以及全组织对质量管理体系的意识方面发挥关键作用。</w:t>
      </w:r>
    </w:p>
    <w:p w14:paraId="2779926A">
      <w:pPr>
        <w:keepNext/>
        <w:spacing w:before="60" w:after="0"/>
        <w:jc w:val="both"/>
      </w:pPr>
      <w:r>
        <w:rPr>
          <w:rFonts w:ascii="Times New Roman" w:hAnsi="Times New Roman" w:eastAsia="宋体"/>
          <w:b w:val="0"/>
          <w:i w:val="0"/>
          <w:color w:val="000000"/>
          <w:sz w:val="21"/>
        </w:rPr>
        <w:t>Ethical behaviour can support confidence in the organization's ability to meet the needs and expectations of relevant interested parties.</w:t>
      </w:r>
    </w:p>
    <w:p w14:paraId="050DD4F0">
      <w:pPr>
        <w:spacing w:before="0" w:after="100"/>
        <w:jc w:val="both"/>
      </w:pPr>
      <w:r>
        <w:rPr>
          <w:rFonts w:ascii="Times New Roman" w:hAnsi="Times New Roman" w:eastAsia="宋体"/>
          <w:b w:val="0"/>
          <w:i w:val="0"/>
          <w:color w:val="000000"/>
          <w:sz w:val="21"/>
        </w:rPr>
        <w:t>道德行为有助于增强相关方对组织满足其需求和期望的能力的信心。</w:t>
      </w:r>
    </w:p>
    <w:p w14:paraId="5162FC26">
      <w:pPr>
        <w:keepNext/>
        <w:spacing w:before="60" w:after="0"/>
        <w:jc w:val="both"/>
      </w:pPr>
      <w:r>
        <w:rPr>
          <w:rFonts w:ascii="Times New Roman" w:hAnsi="Times New Roman" w:eastAsia="宋体"/>
          <w:b w:val="0"/>
          <w:i w:val="0"/>
          <w:color w:val="000000"/>
          <w:sz w:val="21"/>
        </w:rPr>
        <w:t>Ethical behaviour in decisions, actions and interactions can impact all aspects of quality.</w:t>
      </w:r>
    </w:p>
    <w:p w14:paraId="15358A55">
      <w:pPr>
        <w:spacing w:before="0" w:after="100"/>
        <w:jc w:val="both"/>
      </w:pPr>
      <w:r>
        <w:rPr>
          <w:rFonts w:ascii="Times New Roman" w:hAnsi="Times New Roman" w:eastAsia="宋体"/>
          <w:b w:val="0"/>
          <w:i w:val="0"/>
          <w:color w:val="000000"/>
          <w:sz w:val="21"/>
        </w:rPr>
        <w:t>决策、行动和互动中的道德行为可影响质量的各个方面。</w:t>
      </w:r>
    </w:p>
    <w:p w14:paraId="5D34EC43">
      <w:pPr>
        <w:keepNext/>
        <w:spacing w:before="60" w:after="0"/>
        <w:jc w:val="both"/>
      </w:pPr>
      <w:r>
        <w:rPr>
          <w:rFonts w:ascii="Times New Roman" w:hAnsi="Times New Roman" w:eastAsia="宋体"/>
          <w:b w:val="0"/>
          <w:i w:val="0"/>
          <w:color w:val="000000"/>
          <w:sz w:val="21"/>
        </w:rPr>
        <w:t>Maintaining customer focus, as required in 5.1.2, means ensuring awareness and understanding of customer requirements and that the quality management system supports the organization in consistently meeting those requirements and enhancing customer satisfaction.</w:t>
      </w:r>
    </w:p>
    <w:p w14:paraId="1EA5E3B9">
      <w:pPr>
        <w:spacing w:before="0" w:after="100"/>
        <w:jc w:val="both"/>
      </w:pPr>
      <w:r>
        <w:rPr>
          <w:rFonts w:ascii="Times New Roman" w:hAnsi="Times New Roman" w:eastAsia="宋体"/>
          <w:b w:val="0"/>
          <w:i w:val="0"/>
          <w:color w:val="000000"/>
          <w:sz w:val="21"/>
        </w:rPr>
        <w:t>按照5.1.2的要求保持以顾客为关注焦点，意味着确保对顾客要求的意识和理解，并确保质量管理体系支持组织持续满足这些要求并增强顾客满意。</w:t>
      </w:r>
    </w:p>
    <w:p w14:paraId="27E92EBC">
      <w:pPr>
        <w:keepNext/>
        <w:spacing w:before="20" w:after="0"/>
        <w:ind w:left="227"/>
        <w:jc w:val="both"/>
      </w:pPr>
      <w:r>
        <w:rPr>
          <w:rFonts w:ascii="Times New Roman" w:hAnsi="Times New Roman" w:eastAsia="宋体"/>
          <w:b w:val="0"/>
          <w:i/>
          <w:color w:val="000000"/>
          <w:sz w:val="20"/>
        </w:rPr>
        <w:t>NOTE — See ISO 10010 for guidance on quality culture.</w:t>
      </w:r>
    </w:p>
    <w:p w14:paraId="1521FB99">
      <w:pPr>
        <w:spacing w:before="0" w:after="100"/>
        <w:ind w:left="227"/>
        <w:jc w:val="both"/>
      </w:pPr>
      <w:r>
        <w:rPr>
          <w:rFonts w:ascii="Times New Roman" w:hAnsi="Times New Roman" w:eastAsia="宋体"/>
          <w:b w:val="0"/>
          <w:i w:val="0"/>
          <w:color w:val="000000"/>
          <w:sz w:val="20"/>
        </w:rPr>
        <w:t>注：质量文化指南见ISO 10010。</w:t>
      </w:r>
    </w:p>
    <w:p w14:paraId="7E49C810">
      <w:pPr>
        <w:keepNext/>
        <w:spacing w:before="160" w:after="0"/>
        <w:jc w:val="left"/>
      </w:pPr>
      <w:r>
        <w:rPr>
          <w:rFonts w:ascii="Times New Roman" w:hAnsi="Times New Roman" w:eastAsia="宋体"/>
          <w:b/>
          <w:i w:val="0"/>
          <w:color w:val="000000"/>
          <w:sz w:val="21"/>
        </w:rPr>
        <w:t>A.5.2  Quality policy</w:t>
      </w:r>
    </w:p>
    <w:p w14:paraId="53E36979">
      <w:pPr>
        <w:spacing w:before="0" w:after="80"/>
        <w:jc w:val="left"/>
      </w:pPr>
      <w:r>
        <w:rPr>
          <w:rFonts w:ascii="Times New Roman" w:hAnsi="Times New Roman" w:eastAsia="黑体"/>
          <w:b w:val="0"/>
          <w:i w:val="0"/>
          <w:color w:val="000000"/>
          <w:sz w:val="21"/>
        </w:rPr>
        <w:t>A.5.2  质量方针</w:t>
      </w:r>
    </w:p>
    <w:p w14:paraId="16C0C5CC">
      <w:pPr>
        <w:keepNext/>
        <w:spacing w:before="60" w:after="0"/>
        <w:jc w:val="both"/>
      </w:pPr>
      <w:r>
        <w:rPr>
          <w:rFonts w:ascii="Times New Roman" w:hAnsi="Times New Roman" w:eastAsia="宋体"/>
          <w:b w:val="0"/>
          <w:i w:val="0"/>
          <w:color w:val="000000"/>
          <w:sz w:val="21"/>
        </w:rPr>
        <w:t>The quality policy expresses the organization's approach to quality and can reflect its quality culture and expectations for ethical behaviour, as appropriate to its context.</w:t>
      </w:r>
    </w:p>
    <w:p w14:paraId="788E52DE">
      <w:pPr>
        <w:spacing w:before="0" w:after="100"/>
        <w:jc w:val="both"/>
      </w:pPr>
      <w:r>
        <w:rPr>
          <w:rFonts w:ascii="Times New Roman" w:hAnsi="Times New Roman" w:eastAsia="宋体"/>
          <w:b w:val="0"/>
          <w:i w:val="0"/>
          <w:color w:val="000000"/>
          <w:sz w:val="21"/>
        </w:rPr>
        <w:t>质量方针表达了组织对待质量的方式，并可反映其质量文化以及与其环境相适应的道德行为期望。</w:t>
      </w:r>
    </w:p>
    <w:p w14:paraId="5DC36C4D">
      <w:pPr>
        <w:keepNext/>
        <w:spacing w:before="60" w:after="0"/>
        <w:jc w:val="both"/>
      </w:pPr>
      <w:r>
        <w:rPr>
          <w:rFonts w:ascii="Times New Roman" w:hAnsi="Times New Roman" w:eastAsia="宋体"/>
          <w:b w:val="0"/>
          <w:i w:val="0"/>
          <w:color w:val="000000"/>
          <w:sz w:val="21"/>
        </w:rPr>
        <w:t>The communication, understanding and application of the quality policy by people at all levels of the organization supports awareness of the organization's intent to consistently meet quality requirements and achieve its quality objectives and continual improvement.</w:t>
      </w:r>
    </w:p>
    <w:p w14:paraId="4AFCF7CA">
      <w:pPr>
        <w:spacing w:before="0" w:after="100"/>
        <w:jc w:val="both"/>
      </w:pPr>
      <w:r>
        <w:rPr>
          <w:rFonts w:ascii="Times New Roman" w:hAnsi="Times New Roman" w:eastAsia="宋体"/>
          <w:b w:val="0"/>
          <w:i w:val="0"/>
          <w:color w:val="000000"/>
          <w:sz w:val="21"/>
        </w:rPr>
        <w:t>组织各层级人员对质量方针的沟通、理解和应用，有助于增强对组织意图的意识，即持续满足质量要求并实现其质量目标和持续改进。</w:t>
      </w:r>
    </w:p>
    <w:p w14:paraId="77C91AF1">
      <w:pPr>
        <w:keepNext/>
        <w:spacing w:before="60" w:after="0"/>
        <w:jc w:val="both"/>
      </w:pPr>
      <w:r>
        <w:rPr>
          <w:rFonts w:ascii="Times New Roman" w:hAnsi="Times New Roman" w:eastAsia="宋体"/>
          <w:b w:val="0"/>
          <w:i w:val="0"/>
          <w:color w:val="000000"/>
          <w:sz w:val="21"/>
        </w:rPr>
        <w:t>Communicating the quality policy to relevant interested parties including customers and external providers helps ensure understanding of its intent.</w:t>
      </w:r>
    </w:p>
    <w:p w14:paraId="5E16283E">
      <w:pPr>
        <w:spacing w:before="0" w:after="100"/>
        <w:jc w:val="both"/>
      </w:pPr>
      <w:r>
        <w:rPr>
          <w:rFonts w:ascii="Times New Roman" w:hAnsi="Times New Roman" w:eastAsia="宋体"/>
          <w:b w:val="0"/>
          <w:i w:val="0"/>
          <w:color w:val="000000"/>
          <w:sz w:val="21"/>
        </w:rPr>
        <w:t>向包括顾客和外部供方在内的相关方沟通质量方针，有助于确保理解其意图。</w:t>
      </w:r>
    </w:p>
    <w:p w14:paraId="306D4B31">
      <w:pPr>
        <w:keepNext/>
        <w:spacing w:before="160" w:after="0"/>
        <w:jc w:val="left"/>
      </w:pPr>
      <w:r>
        <w:rPr>
          <w:rFonts w:ascii="Times New Roman" w:hAnsi="Times New Roman" w:eastAsia="宋体"/>
          <w:b/>
          <w:i w:val="0"/>
          <w:color w:val="000000"/>
          <w:sz w:val="21"/>
        </w:rPr>
        <w:t>A.5.3  Roles, responsibilities and authorities</w:t>
      </w:r>
    </w:p>
    <w:p w14:paraId="7AE44E1E">
      <w:pPr>
        <w:spacing w:before="0" w:after="80"/>
        <w:jc w:val="left"/>
      </w:pPr>
      <w:r>
        <w:rPr>
          <w:rFonts w:ascii="Times New Roman" w:hAnsi="Times New Roman" w:eastAsia="黑体"/>
          <w:b w:val="0"/>
          <w:i w:val="0"/>
          <w:color w:val="000000"/>
          <w:sz w:val="21"/>
        </w:rPr>
        <w:t>A.5.3  岗位、职责和权限</w:t>
      </w:r>
    </w:p>
    <w:p w14:paraId="71991E40">
      <w:pPr>
        <w:keepNext/>
        <w:spacing w:before="60" w:after="0"/>
        <w:jc w:val="both"/>
      </w:pPr>
      <w:r>
        <w:rPr>
          <w:rFonts w:ascii="Times New Roman" w:hAnsi="Times New Roman" w:eastAsia="宋体"/>
          <w:b w:val="0"/>
          <w:i w:val="0"/>
          <w:color w:val="000000"/>
          <w:sz w:val="21"/>
        </w:rPr>
        <w:t>Responsibilities and authorities are assigned to ensure that the quality management system achieves its objectives. These responsibilities and authorities can be distributed across one or more roles to reflect how the organization is structured.</w:t>
      </w:r>
    </w:p>
    <w:p w14:paraId="49CFC0C6">
      <w:pPr>
        <w:spacing w:before="0" w:after="100"/>
        <w:jc w:val="both"/>
      </w:pPr>
      <w:r>
        <w:rPr>
          <w:rFonts w:ascii="Times New Roman" w:hAnsi="Times New Roman" w:eastAsia="宋体"/>
          <w:b w:val="0"/>
          <w:i w:val="0"/>
          <w:color w:val="000000"/>
          <w:sz w:val="21"/>
        </w:rPr>
        <w:t>分配职责和权限是为了确保质量管理体系实现其目标。这些职责和权限可分配给一个或多个角色，以反映组织的构成方式。</w:t>
      </w:r>
    </w:p>
    <w:p w14:paraId="5BF18E69">
      <w:pPr>
        <w:keepNext/>
        <w:spacing w:before="60" w:after="0"/>
        <w:jc w:val="both"/>
      </w:pPr>
      <w:r>
        <w:rPr>
          <w:rFonts w:ascii="Times New Roman" w:hAnsi="Times New Roman" w:eastAsia="宋体"/>
          <w:b w:val="0"/>
          <w:i w:val="0"/>
          <w:color w:val="000000"/>
          <w:sz w:val="21"/>
        </w:rPr>
        <w:t>Reporting on the performance of the quality management system can provide information that is useful when considering actions that preserve its effectiveness when changes occur.</w:t>
      </w:r>
    </w:p>
    <w:p w14:paraId="57832F0F">
      <w:pPr>
        <w:spacing w:before="0" w:after="100"/>
        <w:jc w:val="both"/>
      </w:pPr>
      <w:r>
        <w:rPr>
          <w:rFonts w:ascii="Times New Roman" w:hAnsi="Times New Roman" w:eastAsia="宋体"/>
          <w:b w:val="0"/>
          <w:i w:val="0"/>
          <w:color w:val="000000"/>
          <w:sz w:val="21"/>
        </w:rPr>
        <w:t>关于质量管理体系绩效的报告可提供有用信息，有助于在发生变化时考虑保持体系有效性的措施。</w:t>
      </w:r>
    </w:p>
    <w:p w14:paraId="5708851F">
      <w:pPr>
        <w:keepNext/>
        <w:spacing w:before="60" w:after="0"/>
        <w:jc w:val="both"/>
      </w:pPr>
      <w:r>
        <w:rPr>
          <w:rFonts w:ascii="Times New Roman" w:hAnsi="Times New Roman" w:eastAsia="宋体"/>
          <w:b w:val="0"/>
          <w:i w:val="0"/>
          <w:color w:val="000000"/>
          <w:sz w:val="21"/>
        </w:rPr>
        <w:t>When changes to the quality management system are planned or implemented, the effective assignment of responsibilities can support the identification, prevention or management of unintended consequences or inconsistencies within the system.</w:t>
      </w:r>
    </w:p>
    <w:p w14:paraId="352B44B9">
      <w:pPr>
        <w:spacing w:before="0" w:after="100"/>
        <w:jc w:val="both"/>
      </w:pPr>
      <w:r>
        <w:rPr>
          <w:rFonts w:ascii="Times New Roman" w:hAnsi="Times New Roman" w:eastAsia="宋体"/>
          <w:b w:val="0"/>
          <w:i w:val="0"/>
          <w:color w:val="000000"/>
          <w:sz w:val="21"/>
        </w:rPr>
        <w:t>在策划或实施质量管理体系变更时，职责的有效分配有助于识别、预防或管理系统内非预期的后果或不一致之处。</w:t>
      </w:r>
    </w:p>
    <w:p w14:paraId="4B8694AD">
      <w:pPr>
        <w:keepNext/>
        <w:spacing w:before="60" w:after="0"/>
        <w:jc w:val="both"/>
      </w:pPr>
      <w:r>
        <w:rPr>
          <w:rFonts w:ascii="Times New Roman" w:hAnsi="Times New Roman" w:eastAsia="宋体"/>
          <w:b w:val="0"/>
          <w:i w:val="0"/>
          <w:color w:val="000000"/>
          <w:sz w:val="21"/>
        </w:rPr>
        <w:t>Where technologies are used to support the management of the quality management system, confidence in the ongoing integrity of the quality management system is supported by:</w:t>
      </w:r>
    </w:p>
    <w:p w14:paraId="0DF93952">
      <w:pPr>
        <w:spacing w:before="0" w:after="100"/>
        <w:jc w:val="both"/>
      </w:pPr>
      <w:r>
        <w:rPr>
          <w:rFonts w:ascii="Times New Roman" w:hAnsi="Times New Roman" w:eastAsia="宋体"/>
          <w:b w:val="0"/>
          <w:i w:val="0"/>
          <w:color w:val="000000"/>
          <w:sz w:val="21"/>
        </w:rPr>
        <w:t>当采用技术手段支持质量管理体系的管理时，对质量管理体系持续完整性的信心可由以下方面提供支撑：</w:t>
      </w:r>
    </w:p>
    <w:p w14:paraId="08DAEB55">
      <w:pPr>
        <w:keepNext/>
        <w:spacing w:before="20" w:after="0"/>
        <w:ind w:left="357" w:hanging="357"/>
        <w:jc w:val="both"/>
      </w:pPr>
      <w:r>
        <w:rPr>
          <w:rFonts w:ascii="Times New Roman" w:hAnsi="Times New Roman" w:eastAsia="宋体"/>
          <w:b w:val="0"/>
          <w:i w:val="0"/>
          <w:color w:val="000000"/>
          <w:sz w:val="21"/>
        </w:rPr>
        <w:t>— the availability of reliable information on which decisions are based;</w:t>
      </w:r>
    </w:p>
    <w:p w14:paraId="4F04D529">
      <w:pPr>
        <w:spacing w:before="0" w:after="60"/>
        <w:ind w:left="357" w:hanging="357"/>
        <w:jc w:val="both"/>
      </w:pPr>
      <w:r>
        <w:rPr>
          <w:rFonts w:ascii="Times New Roman" w:hAnsi="Times New Roman" w:eastAsia="宋体"/>
          <w:b w:val="0"/>
          <w:i w:val="0"/>
          <w:color w:val="000000"/>
          <w:sz w:val="21"/>
        </w:rPr>
        <w:t>—— 作为决策依据的可靠信息的可获得性；</w:t>
      </w:r>
    </w:p>
    <w:p w14:paraId="648AFD2B">
      <w:pPr>
        <w:keepNext/>
        <w:spacing w:before="20" w:after="0"/>
        <w:ind w:left="357" w:hanging="357"/>
        <w:jc w:val="both"/>
      </w:pPr>
      <w:r>
        <w:rPr>
          <w:rFonts w:ascii="Times New Roman" w:hAnsi="Times New Roman" w:eastAsia="宋体"/>
          <w:b w:val="0"/>
          <w:i w:val="0"/>
          <w:color w:val="000000"/>
          <w:sz w:val="21"/>
        </w:rPr>
        <w:t>— clarity regarding responsibilities and authorities for those decisions.</w:t>
      </w:r>
    </w:p>
    <w:p w14:paraId="18BEC0CD">
      <w:pPr>
        <w:spacing w:before="0" w:after="60"/>
        <w:ind w:left="357" w:hanging="357"/>
        <w:jc w:val="both"/>
      </w:pPr>
      <w:r>
        <w:rPr>
          <w:rFonts w:ascii="Times New Roman" w:hAnsi="Times New Roman" w:eastAsia="宋体"/>
          <w:b w:val="0"/>
          <w:i w:val="0"/>
          <w:color w:val="000000"/>
          <w:sz w:val="21"/>
        </w:rPr>
        <w:t>—— 有关这些决策的职责和权限的清晰界定。</w:t>
      </w:r>
    </w:p>
    <w:p w14:paraId="238790F7">
      <w:pPr>
        <w:keepNext/>
        <w:spacing w:before="200" w:after="0"/>
        <w:jc w:val="left"/>
      </w:pPr>
      <w:r>
        <w:rPr>
          <w:rFonts w:ascii="Times New Roman" w:hAnsi="Times New Roman" w:eastAsia="宋体"/>
          <w:b/>
          <w:i w:val="0"/>
          <w:color w:val="000000"/>
          <w:sz w:val="22"/>
        </w:rPr>
        <w:t>A.6  Planning</w:t>
      </w:r>
    </w:p>
    <w:p w14:paraId="36B41275">
      <w:pPr>
        <w:spacing w:before="0" w:after="80"/>
        <w:jc w:val="left"/>
      </w:pPr>
      <w:r>
        <w:rPr>
          <w:rFonts w:ascii="Times New Roman" w:hAnsi="Times New Roman" w:eastAsia="黑体"/>
          <w:b w:val="0"/>
          <w:i w:val="0"/>
          <w:color w:val="000000"/>
          <w:sz w:val="22"/>
        </w:rPr>
        <w:t>A.6  策划</w:t>
      </w:r>
    </w:p>
    <w:p w14:paraId="3E87D56A">
      <w:pPr>
        <w:keepNext/>
        <w:spacing w:before="160" w:after="0"/>
        <w:jc w:val="left"/>
      </w:pPr>
      <w:r>
        <w:rPr>
          <w:rFonts w:ascii="Times New Roman" w:hAnsi="Times New Roman" w:eastAsia="宋体"/>
          <w:b/>
          <w:i w:val="0"/>
          <w:color w:val="000000"/>
          <w:sz w:val="21"/>
        </w:rPr>
        <w:t>A.6.1  Actions to address risks and opportunities</w:t>
      </w:r>
    </w:p>
    <w:p w14:paraId="06F7787F">
      <w:pPr>
        <w:spacing w:before="0" w:after="80"/>
        <w:jc w:val="left"/>
      </w:pPr>
      <w:r>
        <w:rPr>
          <w:rFonts w:ascii="Times New Roman" w:hAnsi="Times New Roman" w:eastAsia="黑体"/>
          <w:b w:val="0"/>
          <w:i w:val="0"/>
          <w:color w:val="000000"/>
          <w:sz w:val="21"/>
        </w:rPr>
        <w:t>A.6.1  应对风险和机遇的措施</w:t>
      </w:r>
    </w:p>
    <w:p w14:paraId="2D54CA3F">
      <w:pPr>
        <w:keepNext/>
        <w:spacing w:before="160" w:after="0"/>
        <w:jc w:val="left"/>
      </w:pPr>
      <w:r>
        <w:rPr>
          <w:rFonts w:ascii="Times New Roman" w:hAnsi="Times New Roman" w:eastAsia="宋体"/>
          <w:b/>
          <w:i w:val="0"/>
          <w:color w:val="000000"/>
          <w:sz w:val="21"/>
        </w:rPr>
        <w:t>A.6.1.1  Determining risks and opportunities</w:t>
      </w:r>
    </w:p>
    <w:p w14:paraId="0EDBB3D4">
      <w:pPr>
        <w:spacing w:before="0" w:after="80"/>
        <w:jc w:val="left"/>
      </w:pPr>
      <w:r>
        <w:rPr>
          <w:rFonts w:ascii="Times New Roman" w:hAnsi="Times New Roman" w:eastAsia="黑体"/>
          <w:b w:val="0"/>
          <w:i w:val="0"/>
          <w:color w:val="000000"/>
          <w:sz w:val="21"/>
        </w:rPr>
        <w:t>A.6.1.1  确定风险和机遇</w:t>
      </w:r>
    </w:p>
    <w:p w14:paraId="1A0F7B58">
      <w:pPr>
        <w:keepNext/>
        <w:spacing w:before="60" w:after="0"/>
        <w:jc w:val="both"/>
      </w:pPr>
      <w:r>
        <w:rPr>
          <w:rFonts w:ascii="Times New Roman" w:hAnsi="Times New Roman" w:eastAsia="宋体"/>
          <w:b w:val="0"/>
          <w:i w:val="0"/>
          <w:color w:val="000000"/>
          <w:sz w:val="21"/>
        </w:rPr>
        <w:t>In quality management, risk is frequently understood as the effect of uncertainty that can have a negative impact on the ability of the quality management system to achieve its intended results, while opportunity is understood as circumstances that make it possible to achieve beneficial effects on the performance of the quality management system.</w:t>
      </w:r>
    </w:p>
    <w:p w14:paraId="59D5C489">
      <w:pPr>
        <w:spacing w:before="0" w:after="100"/>
        <w:jc w:val="both"/>
      </w:pPr>
      <w:r>
        <w:rPr>
          <w:rFonts w:ascii="Times New Roman" w:hAnsi="Times New Roman" w:eastAsia="宋体"/>
          <w:b w:val="0"/>
          <w:i w:val="0"/>
          <w:color w:val="000000"/>
          <w:sz w:val="21"/>
        </w:rPr>
        <w:t>在质量管理中，风险通常被理解为不确定性的影响，可能对质量管理体系实现其预期结果的能力产生不利影响；而机遇则被理解为能够对质量管理体系绩效产生有利影响的各种情境。</w:t>
      </w:r>
    </w:p>
    <w:p w14:paraId="0891A93C">
      <w:pPr>
        <w:keepNext/>
        <w:spacing w:before="60" w:after="0"/>
        <w:jc w:val="both"/>
      </w:pPr>
      <w:r>
        <w:rPr>
          <w:rFonts w:ascii="Times New Roman" w:hAnsi="Times New Roman" w:eastAsia="宋体"/>
          <w:b w:val="0"/>
          <w:i w:val="0"/>
          <w:color w:val="000000"/>
          <w:sz w:val="21"/>
        </w:rPr>
        <w:t>Risk-based thinking and opportunity-based thinking are concepts that can support how the organization considers factors that influence the quality management system.</w:t>
      </w:r>
    </w:p>
    <w:p w14:paraId="037B02D3">
      <w:pPr>
        <w:spacing w:before="0" w:after="100"/>
        <w:jc w:val="both"/>
      </w:pPr>
      <w:r>
        <w:rPr>
          <w:rFonts w:ascii="Times New Roman" w:hAnsi="Times New Roman" w:eastAsia="宋体"/>
          <w:b w:val="0"/>
          <w:i w:val="0"/>
          <w:color w:val="000000"/>
          <w:sz w:val="21"/>
        </w:rPr>
        <w:t>基于风险的思维和基于机遇的思维是相关概念，可支持组织对影响质量管理体系的诸因素的考量。</w:t>
      </w:r>
    </w:p>
    <w:p w14:paraId="357D7C40">
      <w:pPr>
        <w:keepNext/>
        <w:spacing w:before="60" w:after="0"/>
        <w:jc w:val="both"/>
      </w:pPr>
      <w:r>
        <w:rPr>
          <w:rFonts w:ascii="Times New Roman" w:hAnsi="Times New Roman" w:eastAsia="宋体"/>
          <w:b w:val="0"/>
          <w:i w:val="0"/>
          <w:color w:val="000000"/>
          <w:sz w:val="21"/>
        </w:rPr>
        <w:t>When these concepts are used in planning and decision-making, they can support consistency in the quality management system at strategic, tactical and operational levels.</w:t>
      </w:r>
    </w:p>
    <w:p w14:paraId="4486A82E">
      <w:pPr>
        <w:spacing w:before="0" w:after="100"/>
        <w:jc w:val="both"/>
      </w:pPr>
      <w:r>
        <w:rPr>
          <w:rFonts w:ascii="Times New Roman" w:hAnsi="Times New Roman" w:eastAsia="宋体"/>
          <w:b w:val="0"/>
          <w:i w:val="0"/>
          <w:color w:val="000000"/>
          <w:sz w:val="21"/>
        </w:rPr>
        <w:t>当这些概念用于策划和决策时，可支持质量管理体系在战略、战术和运行层面的一致性。</w:t>
      </w:r>
    </w:p>
    <w:p w14:paraId="2196BFB9">
      <w:pPr>
        <w:keepNext/>
        <w:spacing w:before="60" w:after="0"/>
        <w:jc w:val="both"/>
      </w:pPr>
      <w:r>
        <w:rPr>
          <w:rFonts w:ascii="Times New Roman" w:hAnsi="Times New Roman" w:eastAsia="宋体"/>
          <w:b w:val="0"/>
          <w:i w:val="0"/>
          <w:color w:val="000000"/>
          <w:sz w:val="21"/>
        </w:rPr>
        <w:t>Risks and opportunities are distinct; they can be determined and addressed through separate processes.</w:t>
      </w:r>
    </w:p>
    <w:p w14:paraId="308D0667">
      <w:pPr>
        <w:spacing w:before="0" w:after="100"/>
        <w:jc w:val="both"/>
      </w:pPr>
      <w:r>
        <w:rPr>
          <w:rFonts w:ascii="Times New Roman" w:hAnsi="Times New Roman" w:eastAsia="宋体"/>
          <w:b w:val="0"/>
          <w:i w:val="0"/>
          <w:color w:val="000000"/>
          <w:sz w:val="21"/>
        </w:rPr>
        <w:t>风险和机遇是彼此不同的概念；可通过各自独立的过程予以确定和应对。</w:t>
      </w:r>
    </w:p>
    <w:p w14:paraId="44AAFD60">
      <w:pPr>
        <w:keepNext/>
        <w:spacing w:before="20" w:after="0"/>
        <w:ind w:left="227"/>
        <w:jc w:val="both"/>
      </w:pPr>
      <w:r>
        <w:rPr>
          <w:rFonts w:ascii="Times New Roman" w:hAnsi="Times New Roman" w:eastAsia="宋体"/>
          <w:b w:val="0"/>
          <w:i/>
          <w:color w:val="000000"/>
          <w:sz w:val="20"/>
        </w:rPr>
        <w:t>NOTE — See ISO 31000 for guidance on risk management.</w:t>
      </w:r>
    </w:p>
    <w:p w14:paraId="3AA0F063">
      <w:pPr>
        <w:spacing w:before="0" w:after="100"/>
        <w:ind w:left="227"/>
        <w:jc w:val="both"/>
      </w:pPr>
      <w:r>
        <w:rPr>
          <w:rFonts w:ascii="Times New Roman" w:hAnsi="Times New Roman" w:eastAsia="宋体"/>
          <w:b w:val="0"/>
          <w:i w:val="0"/>
          <w:color w:val="000000"/>
          <w:sz w:val="20"/>
        </w:rPr>
        <w:t>注：风险管理指南见ISO 31000。</w:t>
      </w:r>
    </w:p>
    <w:p w14:paraId="755880A3">
      <w:pPr>
        <w:keepNext/>
        <w:spacing w:before="160" w:after="0"/>
        <w:jc w:val="left"/>
      </w:pPr>
      <w:r>
        <w:rPr>
          <w:rFonts w:ascii="Times New Roman" w:hAnsi="Times New Roman" w:eastAsia="宋体"/>
          <w:b/>
          <w:i w:val="0"/>
          <w:color w:val="000000"/>
          <w:sz w:val="21"/>
        </w:rPr>
        <w:t>A.6.1.2  Actions to address risks</w:t>
      </w:r>
    </w:p>
    <w:p w14:paraId="40032C07">
      <w:pPr>
        <w:spacing w:before="0" w:after="80"/>
        <w:jc w:val="left"/>
      </w:pPr>
      <w:r>
        <w:rPr>
          <w:rFonts w:ascii="Times New Roman" w:hAnsi="Times New Roman" w:eastAsia="黑体"/>
          <w:b w:val="0"/>
          <w:i w:val="0"/>
          <w:color w:val="000000"/>
          <w:sz w:val="21"/>
        </w:rPr>
        <w:t>A.6.1.2  应对风险的措施</w:t>
      </w:r>
    </w:p>
    <w:p w14:paraId="527AEC12">
      <w:pPr>
        <w:keepNext/>
        <w:spacing w:before="60" w:after="0"/>
        <w:jc w:val="both"/>
      </w:pPr>
      <w:r>
        <w:rPr>
          <w:rFonts w:ascii="Times New Roman" w:hAnsi="Times New Roman" w:eastAsia="宋体"/>
          <w:b w:val="0"/>
          <w:i w:val="0"/>
          <w:color w:val="000000"/>
          <w:sz w:val="21"/>
        </w:rPr>
        <w:t>When planning and implementing actions to address risks, the application of risk-based thinking supports decisions on how quality management system processes are planned, implemented and controlled.</w:t>
      </w:r>
    </w:p>
    <w:p w14:paraId="0C621531">
      <w:pPr>
        <w:spacing w:before="0" w:after="100"/>
        <w:jc w:val="both"/>
      </w:pPr>
      <w:r>
        <w:rPr>
          <w:rFonts w:ascii="Times New Roman" w:hAnsi="Times New Roman" w:eastAsia="宋体"/>
          <w:b w:val="0"/>
          <w:i w:val="0"/>
          <w:color w:val="000000"/>
          <w:sz w:val="21"/>
        </w:rPr>
        <w:t>在策划和实施应对风险的措施时，基于风险思维的应用可支持关于如何策划、实施和控制质量管理体系过程的决策。</w:t>
      </w:r>
    </w:p>
    <w:p w14:paraId="0498D29A">
      <w:pPr>
        <w:keepNext/>
        <w:spacing w:before="60" w:after="0"/>
        <w:jc w:val="both"/>
      </w:pPr>
      <w:r>
        <w:rPr>
          <w:rFonts w:ascii="Times New Roman" w:hAnsi="Times New Roman" w:eastAsia="宋体"/>
          <w:b w:val="0"/>
          <w:i w:val="0"/>
          <w:color w:val="000000"/>
          <w:sz w:val="21"/>
        </w:rPr>
        <w:t>Risk-based thinking supports the organization in maintaining a quality management system that consistently achieves intended results, even during disruptive occurrences, by determining and implementing appropriate actions. Disruptive occurrences are incidents that negatively impact the planned provision of products and services.</w:t>
      </w:r>
    </w:p>
    <w:p w14:paraId="446E09D4">
      <w:pPr>
        <w:spacing w:before="0" w:after="100"/>
        <w:jc w:val="both"/>
      </w:pPr>
      <w:r>
        <w:rPr>
          <w:rFonts w:ascii="Times New Roman" w:hAnsi="Times New Roman" w:eastAsia="宋体"/>
          <w:b w:val="0"/>
          <w:i w:val="0"/>
          <w:color w:val="000000"/>
          <w:sz w:val="21"/>
        </w:rPr>
        <w:t>基于风险的思维通过确定并实施适当的措施，支持组织保持能够持续实现预期结果的质量管理体系，即使处于中断性事件之中也是如此。中断性事件是指对产品和服务按计划的提供产生负面影响的突发事件。</w:t>
      </w:r>
    </w:p>
    <w:p w14:paraId="12CF886A">
      <w:pPr>
        <w:keepNext/>
        <w:spacing w:before="60" w:after="0"/>
        <w:jc w:val="both"/>
      </w:pPr>
      <w:r>
        <w:rPr>
          <w:rFonts w:ascii="Times New Roman" w:hAnsi="Times New Roman" w:eastAsia="宋体"/>
          <w:b w:val="0"/>
          <w:i w:val="0"/>
          <w:color w:val="000000"/>
          <w:sz w:val="21"/>
        </w:rPr>
        <w:t>The application of risk-based thinking does not imply the use of formal risk management approaches or a documented risk management process.</w:t>
      </w:r>
    </w:p>
    <w:p w14:paraId="78E7446E">
      <w:pPr>
        <w:spacing w:before="0" w:after="100"/>
        <w:jc w:val="both"/>
      </w:pPr>
      <w:r>
        <w:rPr>
          <w:rFonts w:ascii="Times New Roman" w:hAnsi="Times New Roman" w:eastAsia="宋体"/>
          <w:b w:val="0"/>
          <w:i w:val="0"/>
          <w:color w:val="000000"/>
          <w:sz w:val="21"/>
        </w:rPr>
        <w:t>基于风险思维的应用并不意味着必须采用正式的风险管理方法或成文的风险管理过程。</w:t>
      </w:r>
    </w:p>
    <w:p w14:paraId="20BE5D2C">
      <w:pPr>
        <w:keepNext/>
        <w:spacing w:before="60" w:after="0"/>
        <w:jc w:val="both"/>
      </w:pPr>
      <w:r>
        <w:rPr>
          <w:rFonts w:ascii="Times New Roman" w:hAnsi="Times New Roman" w:eastAsia="宋体"/>
          <w:b w:val="0"/>
          <w:i w:val="0"/>
          <w:color w:val="000000"/>
          <w:sz w:val="21"/>
        </w:rPr>
        <w:t>Organizations can choose to adopt more extensive risk management approaches, for example, through the application of other guidance or standards.</w:t>
      </w:r>
    </w:p>
    <w:p w14:paraId="0209F43F">
      <w:pPr>
        <w:spacing w:before="0" w:after="100"/>
        <w:jc w:val="both"/>
      </w:pPr>
      <w:r>
        <w:rPr>
          <w:rFonts w:ascii="Times New Roman" w:hAnsi="Times New Roman" w:eastAsia="宋体"/>
          <w:b w:val="0"/>
          <w:i w:val="0"/>
          <w:color w:val="000000"/>
          <w:sz w:val="21"/>
        </w:rPr>
        <w:t>组织可选择采用更广泛的风险管理方法，例如应用其他指南或标准。</w:t>
      </w:r>
    </w:p>
    <w:p w14:paraId="13515D93">
      <w:pPr>
        <w:keepNext/>
        <w:spacing w:before="20" w:after="0"/>
        <w:ind w:left="227"/>
        <w:jc w:val="both"/>
      </w:pPr>
      <w:r>
        <w:rPr>
          <w:rFonts w:ascii="Times New Roman" w:hAnsi="Times New Roman" w:eastAsia="宋体"/>
          <w:b w:val="0"/>
          <w:i/>
          <w:color w:val="000000"/>
          <w:sz w:val="20"/>
        </w:rPr>
        <w:t>NOTE — See ISO 31000 for guidance on risk management.</w:t>
      </w:r>
    </w:p>
    <w:p w14:paraId="600C27E6">
      <w:pPr>
        <w:spacing w:before="0" w:after="100"/>
        <w:ind w:left="227"/>
        <w:jc w:val="both"/>
      </w:pPr>
      <w:r>
        <w:rPr>
          <w:rFonts w:ascii="Times New Roman" w:hAnsi="Times New Roman" w:eastAsia="宋体"/>
          <w:b w:val="0"/>
          <w:i w:val="0"/>
          <w:color w:val="000000"/>
          <w:sz w:val="20"/>
        </w:rPr>
        <w:t>注：风险管理指南见ISO 31000。</w:t>
      </w:r>
    </w:p>
    <w:p w14:paraId="5A5457E3">
      <w:pPr>
        <w:keepNext/>
        <w:spacing w:before="160" w:after="0"/>
        <w:jc w:val="left"/>
      </w:pPr>
      <w:r>
        <w:rPr>
          <w:rFonts w:ascii="Times New Roman" w:hAnsi="Times New Roman" w:eastAsia="宋体"/>
          <w:b/>
          <w:i w:val="0"/>
          <w:color w:val="000000"/>
          <w:sz w:val="21"/>
        </w:rPr>
        <w:t>A.6.1.3  Actions to address opportunities</w:t>
      </w:r>
    </w:p>
    <w:p w14:paraId="4FF01F16">
      <w:pPr>
        <w:spacing w:before="0" w:after="80"/>
        <w:jc w:val="left"/>
      </w:pPr>
      <w:r>
        <w:rPr>
          <w:rFonts w:ascii="Times New Roman" w:hAnsi="Times New Roman" w:eastAsia="黑体"/>
          <w:b w:val="0"/>
          <w:i w:val="0"/>
          <w:color w:val="000000"/>
          <w:sz w:val="21"/>
        </w:rPr>
        <w:t>A.6.1.3  应对机遇的措施</w:t>
      </w:r>
    </w:p>
    <w:p w14:paraId="4ABB6A79">
      <w:pPr>
        <w:keepNext/>
        <w:spacing w:before="60" w:after="0"/>
        <w:jc w:val="both"/>
      </w:pPr>
      <w:r>
        <w:rPr>
          <w:rFonts w:ascii="Times New Roman" w:hAnsi="Times New Roman" w:eastAsia="宋体"/>
          <w:b w:val="0"/>
          <w:i w:val="0"/>
          <w:color w:val="000000"/>
          <w:sz w:val="21"/>
        </w:rPr>
        <w:t>Opportunities can be determined through assessment of the organization's external and internal context, including the needs and expectations of interested parties, organizational capability, capacity and competence, and the results of monitoring and measurement activities and related performance indicators.</w:t>
      </w:r>
    </w:p>
    <w:p w14:paraId="247CEFA8">
      <w:pPr>
        <w:spacing w:before="0" w:after="100"/>
        <w:jc w:val="both"/>
      </w:pPr>
      <w:r>
        <w:rPr>
          <w:rFonts w:ascii="Times New Roman" w:hAnsi="Times New Roman" w:eastAsia="宋体"/>
          <w:b w:val="0"/>
          <w:i w:val="0"/>
          <w:color w:val="000000"/>
          <w:sz w:val="21"/>
        </w:rPr>
        <w:t>可通过评估组织的外部和内部环境来确定机遇，包括相关方的需求和期望、组织的能力、容量和胜任能力，以及监视和测量活动及相关绩效指标的结果。</w:t>
      </w:r>
    </w:p>
    <w:p w14:paraId="5E61F9F0">
      <w:pPr>
        <w:keepNext/>
        <w:spacing w:before="60" w:after="0"/>
        <w:jc w:val="both"/>
      </w:pPr>
      <w:r>
        <w:rPr>
          <w:rFonts w:ascii="Times New Roman" w:hAnsi="Times New Roman" w:eastAsia="宋体"/>
          <w:b w:val="0"/>
          <w:i w:val="0"/>
          <w:color w:val="000000"/>
          <w:sz w:val="21"/>
        </w:rPr>
        <w:t>Opportunity-based thinking can support consideration of factors that can positively influence the intended results of the quality management system and can help the organization recognize where opportunities exist that can have a beneficial effect on the performance of the quality management system and its intended results.</w:t>
      </w:r>
    </w:p>
    <w:p w14:paraId="1B748ECA">
      <w:pPr>
        <w:spacing w:before="0" w:after="100"/>
        <w:jc w:val="both"/>
      </w:pPr>
      <w:r>
        <w:rPr>
          <w:rFonts w:ascii="Times New Roman" w:hAnsi="Times New Roman" w:eastAsia="宋体"/>
          <w:b w:val="0"/>
          <w:i w:val="0"/>
          <w:color w:val="000000"/>
          <w:sz w:val="21"/>
        </w:rPr>
        <w:t>基于机遇的思维可支持对可能对质量管理体系预期结果产生积极影响的因素的考虑，并帮助组织识别存在何种机遇，从而对质量管理体系的绩效及其预期结果产生有利影响。</w:t>
      </w:r>
    </w:p>
    <w:p w14:paraId="17894D56">
      <w:pPr>
        <w:keepNext/>
        <w:spacing w:before="60" w:after="0"/>
        <w:jc w:val="both"/>
      </w:pPr>
      <w:r>
        <w:rPr>
          <w:rFonts w:ascii="Times New Roman" w:hAnsi="Times New Roman" w:eastAsia="宋体"/>
          <w:b w:val="0"/>
          <w:i w:val="0"/>
          <w:color w:val="000000"/>
          <w:sz w:val="21"/>
        </w:rPr>
        <w:t>Opportunities can come from various sources such as changes in market conditions, emerging technologies or regulatory requirements. These circumstances can enable the organization to improve its quality management system performance.</w:t>
      </w:r>
    </w:p>
    <w:p w14:paraId="6A1C97CC">
      <w:pPr>
        <w:spacing w:before="0" w:after="100"/>
        <w:jc w:val="both"/>
      </w:pPr>
      <w:r>
        <w:rPr>
          <w:rFonts w:ascii="Times New Roman" w:hAnsi="Times New Roman" w:eastAsia="宋体"/>
          <w:b w:val="0"/>
          <w:i w:val="0"/>
          <w:color w:val="000000"/>
          <w:sz w:val="21"/>
        </w:rPr>
        <w:t>机遇可能来自多种来源，如市场条件的变化、新兴技术或法律法规要求。这些情况可使组织能够改进其质量管理体系的绩效。</w:t>
      </w:r>
    </w:p>
    <w:p w14:paraId="210BE06D">
      <w:pPr>
        <w:keepNext/>
        <w:spacing w:before="160" w:after="0"/>
        <w:jc w:val="left"/>
      </w:pPr>
      <w:r>
        <w:rPr>
          <w:rFonts w:ascii="Times New Roman" w:hAnsi="Times New Roman" w:eastAsia="宋体"/>
          <w:b/>
          <w:i w:val="0"/>
          <w:color w:val="000000"/>
          <w:sz w:val="21"/>
        </w:rPr>
        <w:t>A.6.2  Quality objectives and planning to achieve them</w:t>
      </w:r>
    </w:p>
    <w:p w14:paraId="758D1BF3">
      <w:pPr>
        <w:spacing w:before="0" w:after="80"/>
        <w:jc w:val="left"/>
      </w:pPr>
      <w:r>
        <w:rPr>
          <w:rFonts w:ascii="Times New Roman" w:hAnsi="Times New Roman" w:eastAsia="黑体"/>
          <w:b w:val="0"/>
          <w:i w:val="0"/>
          <w:color w:val="000000"/>
          <w:sz w:val="21"/>
        </w:rPr>
        <w:t>A.6.2  质量目标及其实现的策划</w:t>
      </w:r>
    </w:p>
    <w:p w14:paraId="521F8739">
      <w:pPr>
        <w:keepNext/>
        <w:spacing w:before="60" w:after="0"/>
        <w:jc w:val="both"/>
      </w:pPr>
      <w:r>
        <w:rPr>
          <w:rFonts w:ascii="Times New Roman" w:hAnsi="Times New Roman" w:eastAsia="宋体"/>
          <w:b w:val="0"/>
          <w:i w:val="0"/>
          <w:color w:val="000000"/>
          <w:sz w:val="21"/>
        </w:rPr>
        <w:t>Quality objectives are part of the organization's overall objectives and are aligned with the quality policy.</w:t>
      </w:r>
    </w:p>
    <w:p w14:paraId="3EE11767">
      <w:pPr>
        <w:spacing w:before="0" w:after="100"/>
        <w:jc w:val="both"/>
      </w:pPr>
      <w:r>
        <w:rPr>
          <w:rFonts w:ascii="Times New Roman" w:hAnsi="Times New Roman" w:eastAsia="宋体"/>
          <w:b w:val="0"/>
          <w:i w:val="0"/>
          <w:color w:val="000000"/>
          <w:sz w:val="21"/>
        </w:rPr>
        <w:t>质量目标是组织总体目标的一部分，并与质量方针保持一致。</w:t>
      </w:r>
    </w:p>
    <w:p w14:paraId="44865ACB">
      <w:pPr>
        <w:keepNext/>
        <w:spacing w:before="60" w:after="0"/>
        <w:jc w:val="both"/>
      </w:pPr>
      <w:r>
        <w:rPr>
          <w:rFonts w:ascii="Times New Roman" w:hAnsi="Times New Roman" w:eastAsia="宋体"/>
          <w:b w:val="0"/>
          <w:i w:val="0"/>
          <w:color w:val="000000"/>
          <w:sz w:val="21"/>
        </w:rPr>
        <w:t>Objectives can be established at strategic, tactical and operational levels and can be expressed in quantitative or other suitable forms.</w:t>
      </w:r>
    </w:p>
    <w:p w14:paraId="6F685D85">
      <w:pPr>
        <w:spacing w:before="0" w:after="100"/>
        <w:jc w:val="both"/>
      </w:pPr>
      <w:r>
        <w:rPr>
          <w:rFonts w:ascii="Times New Roman" w:hAnsi="Times New Roman" w:eastAsia="宋体"/>
          <w:b w:val="0"/>
          <w:i w:val="0"/>
          <w:color w:val="000000"/>
          <w:sz w:val="21"/>
        </w:rPr>
        <w:t>目标可在战略、战术和运行层面建立，并可以定量或其他适宜的形式表述。</w:t>
      </w:r>
    </w:p>
    <w:p w14:paraId="5AA73325">
      <w:pPr>
        <w:keepNext/>
        <w:spacing w:before="60" w:after="0"/>
        <w:jc w:val="both"/>
      </w:pPr>
      <w:r>
        <w:rPr>
          <w:rFonts w:ascii="Times New Roman" w:hAnsi="Times New Roman" w:eastAsia="宋体"/>
          <w:b w:val="0"/>
          <w:i w:val="0"/>
          <w:color w:val="000000"/>
          <w:sz w:val="21"/>
        </w:rPr>
        <w:t>Measurable, documented objectives can aid clarity and consistency in how objectives are communicated, understood and reported.</w:t>
      </w:r>
    </w:p>
    <w:p w14:paraId="7B923859">
      <w:pPr>
        <w:spacing w:before="0" w:after="100"/>
        <w:jc w:val="both"/>
      </w:pPr>
      <w:r>
        <w:rPr>
          <w:rFonts w:ascii="Times New Roman" w:hAnsi="Times New Roman" w:eastAsia="宋体"/>
          <w:b w:val="0"/>
          <w:i w:val="0"/>
          <w:color w:val="000000"/>
          <w:sz w:val="21"/>
        </w:rPr>
        <w:t>可测量的、成文的目标有助于提高目标在沟通、理解和报告方面的清晰度和一致性。</w:t>
      </w:r>
    </w:p>
    <w:p w14:paraId="0D51427A">
      <w:pPr>
        <w:keepNext/>
        <w:spacing w:before="60" w:after="0"/>
        <w:jc w:val="both"/>
      </w:pPr>
      <w:r>
        <w:rPr>
          <w:rFonts w:ascii="Times New Roman" w:hAnsi="Times New Roman" w:eastAsia="宋体"/>
          <w:b w:val="0"/>
          <w:i w:val="0"/>
          <w:color w:val="000000"/>
          <w:sz w:val="21"/>
        </w:rPr>
        <w:t>Communication of objectives to those responsible for achieving them, and to relevant interested parties where appropriate, can help maintain awareness and understanding of the quality management system.</w:t>
      </w:r>
    </w:p>
    <w:p w14:paraId="61C083AB">
      <w:pPr>
        <w:spacing w:before="0" w:after="100"/>
        <w:jc w:val="both"/>
      </w:pPr>
      <w:r>
        <w:rPr>
          <w:rFonts w:ascii="Times New Roman" w:hAnsi="Times New Roman" w:eastAsia="宋体"/>
          <w:b w:val="0"/>
          <w:i w:val="0"/>
          <w:color w:val="000000"/>
          <w:sz w:val="21"/>
        </w:rPr>
        <w:t>将目标传达给负责实现目标的人员，并在适当时传达给相关方，有助于保持对质量管理体系的意识和理解。</w:t>
      </w:r>
    </w:p>
    <w:p w14:paraId="1EC815BA">
      <w:pPr>
        <w:keepNext/>
        <w:spacing w:before="60" w:after="0"/>
        <w:jc w:val="both"/>
      </w:pPr>
      <w:r>
        <w:rPr>
          <w:rFonts w:ascii="Times New Roman" w:hAnsi="Times New Roman" w:eastAsia="宋体"/>
          <w:b w:val="0"/>
          <w:i w:val="0"/>
          <w:color w:val="000000"/>
          <w:sz w:val="21"/>
        </w:rPr>
        <w:t>When objectives are linked to other management system objectives, the integration of management systems can facilitate coherence in planning and decision-making.</w:t>
      </w:r>
    </w:p>
    <w:p w14:paraId="7A9636CF">
      <w:pPr>
        <w:spacing w:before="0" w:after="100"/>
        <w:jc w:val="both"/>
      </w:pPr>
      <w:r>
        <w:rPr>
          <w:rFonts w:ascii="Times New Roman" w:hAnsi="Times New Roman" w:eastAsia="宋体"/>
          <w:b w:val="0"/>
          <w:i w:val="0"/>
          <w:color w:val="000000"/>
          <w:sz w:val="21"/>
        </w:rPr>
        <w:t>当目标与其他管理体系的目标相关联时，管理体系的整合可促进策划和决策的协调一致。</w:t>
      </w:r>
    </w:p>
    <w:p w14:paraId="28597916">
      <w:pPr>
        <w:keepNext/>
        <w:spacing w:before="160" w:after="0"/>
        <w:jc w:val="left"/>
      </w:pPr>
      <w:r>
        <w:rPr>
          <w:rFonts w:ascii="Times New Roman" w:hAnsi="Times New Roman" w:eastAsia="宋体"/>
          <w:b/>
          <w:i w:val="0"/>
          <w:color w:val="000000"/>
          <w:sz w:val="21"/>
        </w:rPr>
        <w:t>A.6.3  Planning of changes</w:t>
      </w:r>
    </w:p>
    <w:p w14:paraId="0CFEC817">
      <w:pPr>
        <w:spacing w:before="0" w:after="80"/>
        <w:jc w:val="left"/>
      </w:pPr>
      <w:r>
        <w:rPr>
          <w:rFonts w:ascii="Times New Roman" w:hAnsi="Times New Roman" w:eastAsia="黑体"/>
          <w:b w:val="0"/>
          <w:i w:val="0"/>
          <w:color w:val="000000"/>
          <w:sz w:val="21"/>
        </w:rPr>
        <w:t>A.6.3  变更的策划</w:t>
      </w:r>
    </w:p>
    <w:p w14:paraId="3ACA8142">
      <w:pPr>
        <w:keepNext/>
        <w:spacing w:before="60" w:after="0"/>
        <w:jc w:val="both"/>
      </w:pPr>
      <w:r>
        <w:rPr>
          <w:rFonts w:ascii="Times New Roman" w:hAnsi="Times New Roman" w:eastAsia="宋体"/>
          <w:b w:val="0"/>
          <w:i w:val="0"/>
          <w:color w:val="000000"/>
          <w:sz w:val="21"/>
        </w:rPr>
        <w:t>Changes to the organization, including changes to its quality management system, can affect the organization in different ways, some of which can adversely impact its ability to achieve its objectives, and some of which can indicate a potential opportunity that can drive improvements.</w:t>
      </w:r>
    </w:p>
    <w:p w14:paraId="714F9A29">
      <w:pPr>
        <w:spacing w:before="0" w:after="100"/>
        <w:jc w:val="both"/>
      </w:pPr>
      <w:r>
        <w:rPr>
          <w:rFonts w:ascii="Times New Roman" w:hAnsi="Times New Roman" w:eastAsia="宋体"/>
          <w:b w:val="0"/>
          <w:i w:val="0"/>
          <w:color w:val="000000"/>
          <w:sz w:val="21"/>
        </w:rPr>
        <w:t>组织的变更（包括质量管理体系的变更）可能以不同方式影响组织：有些可能对组织实现其目标的能力产生不利影响，有些则可能表明存在可推动改进的潜在机遇。</w:t>
      </w:r>
    </w:p>
    <w:p w14:paraId="1A25B03E">
      <w:pPr>
        <w:keepNext/>
        <w:spacing w:before="60" w:after="0"/>
        <w:jc w:val="both"/>
      </w:pPr>
      <w:r>
        <w:rPr>
          <w:rFonts w:ascii="Times New Roman" w:hAnsi="Times New Roman" w:eastAsia="宋体"/>
          <w:b w:val="0"/>
          <w:i w:val="0"/>
          <w:color w:val="000000"/>
          <w:sz w:val="21"/>
        </w:rPr>
        <w:t>Changes can arise from external or internal issues, decisions taken by the organization or changes in other management systems.</w:t>
      </w:r>
    </w:p>
    <w:p w14:paraId="1A14ACCD">
      <w:pPr>
        <w:spacing w:before="0" w:after="100"/>
        <w:jc w:val="both"/>
      </w:pPr>
      <w:r>
        <w:rPr>
          <w:rFonts w:ascii="Times New Roman" w:hAnsi="Times New Roman" w:eastAsia="宋体"/>
          <w:b w:val="0"/>
          <w:i w:val="0"/>
          <w:color w:val="000000"/>
          <w:sz w:val="21"/>
        </w:rPr>
        <w:t>变更可能源于外部或内部因素、组织所作出的决策，或其他管理体系的变更。</w:t>
      </w:r>
    </w:p>
    <w:p w14:paraId="419CB252">
      <w:pPr>
        <w:keepNext/>
        <w:spacing w:before="60" w:after="0"/>
        <w:jc w:val="both"/>
      </w:pPr>
      <w:r>
        <w:rPr>
          <w:rFonts w:ascii="Times New Roman" w:hAnsi="Times New Roman" w:eastAsia="宋体"/>
          <w:b w:val="0"/>
          <w:i w:val="0"/>
          <w:color w:val="000000"/>
          <w:sz w:val="21"/>
        </w:rPr>
        <w:t>Once the need for changes to the quality management system is determined, planning approaches can differ depending on the reasons for change, the complexity of the changes to be made and the potential significance of resulting impacts.</w:t>
      </w:r>
    </w:p>
    <w:p w14:paraId="6DEC874E">
      <w:pPr>
        <w:spacing w:before="0" w:after="100"/>
        <w:jc w:val="both"/>
      </w:pPr>
      <w:r>
        <w:rPr>
          <w:rFonts w:ascii="Times New Roman" w:hAnsi="Times New Roman" w:eastAsia="宋体"/>
          <w:b w:val="0"/>
          <w:i w:val="0"/>
          <w:color w:val="000000"/>
          <w:sz w:val="21"/>
        </w:rPr>
        <w:t>一旦确定需要变更质量管理体系，策划方式可因变更的原因、拟实施变更的复杂程度以及所产生影响的潜在重要性的不同而有所不同。</w:t>
      </w:r>
    </w:p>
    <w:p w14:paraId="6C709D8E">
      <w:pPr>
        <w:keepNext/>
        <w:spacing w:before="20" w:after="0"/>
        <w:ind w:left="227"/>
        <w:jc w:val="both"/>
      </w:pPr>
      <w:r>
        <w:rPr>
          <w:rFonts w:ascii="Times New Roman" w:hAnsi="Times New Roman" w:eastAsia="宋体"/>
          <w:b w:val="0"/>
          <w:i/>
          <w:color w:val="000000"/>
          <w:sz w:val="20"/>
        </w:rPr>
        <w:t>NOTE — See ISO/TS 10020 for guidance on how to manage change.</w:t>
      </w:r>
    </w:p>
    <w:p w14:paraId="4AC9B480">
      <w:pPr>
        <w:spacing w:before="0" w:after="100"/>
        <w:ind w:left="227"/>
        <w:jc w:val="both"/>
      </w:pPr>
      <w:r>
        <w:rPr>
          <w:rFonts w:ascii="Times New Roman" w:hAnsi="Times New Roman" w:eastAsia="宋体"/>
          <w:b w:val="0"/>
          <w:i w:val="0"/>
          <w:color w:val="000000"/>
          <w:sz w:val="20"/>
        </w:rPr>
        <w:t>注：变更管理方法指南见ISO/TS 10020。</w:t>
      </w:r>
    </w:p>
    <w:p w14:paraId="1C340B82">
      <w:pPr>
        <w:keepNext/>
        <w:spacing w:before="200" w:after="0"/>
        <w:jc w:val="left"/>
      </w:pPr>
      <w:r>
        <w:rPr>
          <w:rFonts w:ascii="Times New Roman" w:hAnsi="Times New Roman" w:eastAsia="宋体"/>
          <w:b/>
          <w:i w:val="0"/>
          <w:color w:val="000000"/>
          <w:sz w:val="22"/>
        </w:rPr>
        <w:t>A.7  Support</w:t>
      </w:r>
    </w:p>
    <w:p w14:paraId="2A8B934B">
      <w:pPr>
        <w:spacing w:before="0" w:after="80"/>
        <w:jc w:val="left"/>
      </w:pPr>
      <w:r>
        <w:rPr>
          <w:rFonts w:ascii="Times New Roman" w:hAnsi="Times New Roman" w:eastAsia="黑体"/>
          <w:b w:val="0"/>
          <w:i w:val="0"/>
          <w:color w:val="000000"/>
          <w:sz w:val="22"/>
        </w:rPr>
        <w:t>A.7  支持</w:t>
      </w:r>
    </w:p>
    <w:p w14:paraId="2A7D0CF6">
      <w:pPr>
        <w:keepNext/>
        <w:spacing w:before="160" w:after="0"/>
        <w:jc w:val="left"/>
      </w:pPr>
      <w:r>
        <w:rPr>
          <w:rFonts w:ascii="Times New Roman" w:hAnsi="Times New Roman" w:eastAsia="宋体"/>
          <w:b/>
          <w:i w:val="0"/>
          <w:color w:val="000000"/>
          <w:sz w:val="21"/>
        </w:rPr>
        <w:t>A.7.1  Resources</w:t>
      </w:r>
    </w:p>
    <w:p w14:paraId="6EAAF27C">
      <w:pPr>
        <w:spacing w:before="0" w:after="80"/>
        <w:jc w:val="left"/>
      </w:pPr>
      <w:r>
        <w:rPr>
          <w:rFonts w:ascii="Times New Roman" w:hAnsi="Times New Roman" w:eastAsia="黑体"/>
          <w:b w:val="0"/>
          <w:i w:val="0"/>
          <w:color w:val="000000"/>
          <w:sz w:val="21"/>
        </w:rPr>
        <w:t>A.7.1  资源</w:t>
      </w:r>
    </w:p>
    <w:p w14:paraId="38088B67">
      <w:pPr>
        <w:keepNext/>
        <w:spacing w:before="160" w:after="0"/>
        <w:jc w:val="left"/>
      </w:pPr>
      <w:r>
        <w:rPr>
          <w:rFonts w:ascii="Times New Roman" w:hAnsi="Times New Roman" w:eastAsia="宋体"/>
          <w:b/>
          <w:i w:val="0"/>
          <w:color w:val="000000"/>
          <w:sz w:val="21"/>
        </w:rPr>
        <w:t>A.7.1.1  General</w:t>
      </w:r>
    </w:p>
    <w:p w14:paraId="05B5E39D">
      <w:pPr>
        <w:spacing w:before="0" w:after="80"/>
        <w:jc w:val="left"/>
      </w:pPr>
      <w:r>
        <w:rPr>
          <w:rFonts w:ascii="Times New Roman" w:hAnsi="Times New Roman" w:eastAsia="黑体"/>
          <w:b w:val="0"/>
          <w:i w:val="0"/>
          <w:color w:val="000000"/>
          <w:sz w:val="21"/>
        </w:rPr>
        <w:t>A.7.1.1  总则</w:t>
      </w:r>
    </w:p>
    <w:p w14:paraId="1BBEF302">
      <w:pPr>
        <w:keepNext/>
        <w:spacing w:before="60" w:after="0"/>
        <w:jc w:val="both"/>
      </w:pPr>
      <w:r>
        <w:rPr>
          <w:rFonts w:ascii="Times New Roman" w:hAnsi="Times New Roman" w:eastAsia="宋体"/>
          <w:b w:val="0"/>
          <w:i w:val="0"/>
          <w:color w:val="000000"/>
          <w:sz w:val="21"/>
        </w:rPr>
        <w:t>Determining and providing resources relates to what is necessary and appropriate for achieving the intended results of the quality management system. This can include consideration of interactions between resources and processes.</w:t>
      </w:r>
    </w:p>
    <w:p w14:paraId="0BD20BFB">
      <w:pPr>
        <w:spacing w:before="0" w:after="100"/>
        <w:jc w:val="both"/>
      </w:pPr>
      <w:r>
        <w:rPr>
          <w:rFonts w:ascii="Times New Roman" w:hAnsi="Times New Roman" w:eastAsia="宋体"/>
          <w:b w:val="0"/>
          <w:i w:val="0"/>
          <w:color w:val="000000"/>
          <w:sz w:val="21"/>
        </w:rPr>
        <w:t>确定和提供资源涉及为实现质量管理体系预期结果所必需和适宜的内容。这可包括对资源与过程之间相互作用的考虑。</w:t>
      </w:r>
    </w:p>
    <w:p w14:paraId="071CC6D0">
      <w:pPr>
        <w:keepNext/>
        <w:spacing w:before="160" w:after="0"/>
        <w:jc w:val="left"/>
      </w:pPr>
      <w:r>
        <w:rPr>
          <w:rFonts w:ascii="Times New Roman" w:hAnsi="Times New Roman" w:eastAsia="宋体"/>
          <w:b/>
          <w:i w:val="0"/>
          <w:color w:val="000000"/>
          <w:sz w:val="21"/>
        </w:rPr>
        <w:t>A.7.1.2  People</w:t>
      </w:r>
    </w:p>
    <w:p w14:paraId="77939F46">
      <w:pPr>
        <w:spacing w:before="0" w:after="80"/>
        <w:jc w:val="left"/>
      </w:pPr>
      <w:r>
        <w:rPr>
          <w:rFonts w:ascii="Times New Roman" w:hAnsi="Times New Roman" w:eastAsia="黑体"/>
          <w:b w:val="0"/>
          <w:i w:val="0"/>
          <w:color w:val="000000"/>
          <w:sz w:val="21"/>
        </w:rPr>
        <w:t>A.7.1.2  人员</w:t>
      </w:r>
    </w:p>
    <w:p w14:paraId="69C87D34">
      <w:pPr>
        <w:keepNext/>
        <w:spacing w:before="60" w:after="0"/>
        <w:jc w:val="both"/>
      </w:pPr>
      <w:r>
        <w:rPr>
          <w:rFonts w:ascii="Times New Roman" w:hAnsi="Times New Roman" w:eastAsia="宋体"/>
          <w:b w:val="0"/>
          <w:i w:val="0"/>
          <w:color w:val="000000"/>
          <w:sz w:val="21"/>
        </w:rPr>
        <w:t>The organization determines the people needed to operate the quality management system effectively.</w:t>
      </w:r>
    </w:p>
    <w:p w14:paraId="3717FF45">
      <w:pPr>
        <w:spacing w:before="0" w:after="100"/>
        <w:jc w:val="both"/>
      </w:pPr>
      <w:r>
        <w:rPr>
          <w:rFonts w:ascii="Times New Roman" w:hAnsi="Times New Roman" w:eastAsia="宋体"/>
          <w:b w:val="0"/>
          <w:i w:val="0"/>
          <w:color w:val="000000"/>
          <w:sz w:val="21"/>
        </w:rPr>
        <w:t>组织确定有效运行质量管理体系所需的人员。</w:t>
      </w:r>
    </w:p>
    <w:p w14:paraId="25088CF3">
      <w:pPr>
        <w:keepNext/>
        <w:spacing w:before="60" w:after="0"/>
        <w:jc w:val="both"/>
      </w:pPr>
      <w:r>
        <w:rPr>
          <w:rFonts w:ascii="Times New Roman" w:hAnsi="Times New Roman" w:eastAsia="宋体"/>
          <w:b w:val="0"/>
          <w:i w:val="0"/>
          <w:color w:val="000000"/>
          <w:sz w:val="21"/>
        </w:rPr>
        <w:t>People can be internal or external to the organization, with a permanent or temporary relationship.</w:t>
      </w:r>
    </w:p>
    <w:p w14:paraId="0A4D6801">
      <w:pPr>
        <w:spacing w:before="0" w:after="100"/>
        <w:jc w:val="both"/>
      </w:pPr>
      <w:r>
        <w:rPr>
          <w:rFonts w:ascii="Times New Roman" w:hAnsi="Times New Roman" w:eastAsia="宋体"/>
          <w:b w:val="0"/>
          <w:i w:val="0"/>
          <w:color w:val="000000"/>
          <w:sz w:val="21"/>
        </w:rPr>
        <w:t>人员可以是组织内部的或外部的，与组织的关系可以是长期的或临时的。</w:t>
      </w:r>
    </w:p>
    <w:p w14:paraId="1DF181FB">
      <w:pPr>
        <w:keepNext/>
        <w:spacing w:before="60" w:after="0"/>
        <w:jc w:val="both"/>
      </w:pPr>
      <w:r>
        <w:rPr>
          <w:rFonts w:ascii="Times New Roman" w:hAnsi="Times New Roman" w:eastAsia="宋体"/>
          <w:b w:val="0"/>
          <w:i w:val="0"/>
          <w:color w:val="000000"/>
          <w:sz w:val="21"/>
        </w:rPr>
        <w:t>When technologies are used to support people in relevant roles, this can result in risks and opportunities relevant to the quality management system.</w:t>
      </w:r>
    </w:p>
    <w:p w14:paraId="21C96482">
      <w:pPr>
        <w:spacing w:before="0" w:after="100"/>
        <w:jc w:val="both"/>
      </w:pPr>
      <w:r>
        <w:rPr>
          <w:rFonts w:ascii="Times New Roman" w:hAnsi="Times New Roman" w:eastAsia="宋体"/>
          <w:b w:val="0"/>
          <w:i w:val="0"/>
          <w:color w:val="000000"/>
          <w:sz w:val="21"/>
        </w:rPr>
        <w:t>当采用技术手段支持相关角色的人员时，可能产生与质量管理体系相关的风险和机遇。</w:t>
      </w:r>
    </w:p>
    <w:p w14:paraId="0050345C">
      <w:pPr>
        <w:keepNext/>
        <w:spacing w:before="20" w:after="0"/>
        <w:ind w:left="227"/>
        <w:jc w:val="both"/>
      </w:pPr>
      <w:r>
        <w:rPr>
          <w:rFonts w:ascii="Times New Roman" w:hAnsi="Times New Roman" w:eastAsia="宋体"/>
          <w:b w:val="0"/>
          <w:i/>
          <w:color w:val="000000"/>
          <w:sz w:val="20"/>
        </w:rPr>
        <w:t>NOTE — See ISO 30201 for information on human resources management systems.</w:t>
      </w:r>
    </w:p>
    <w:p w14:paraId="4CEE1415">
      <w:pPr>
        <w:spacing w:before="0" w:after="100"/>
        <w:ind w:left="227"/>
        <w:jc w:val="both"/>
      </w:pPr>
      <w:r>
        <w:rPr>
          <w:rFonts w:ascii="Times New Roman" w:hAnsi="Times New Roman" w:eastAsia="宋体"/>
          <w:b w:val="0"/>
          <w:i w:val="0"/>
          <w:color w:val="000000"/>
          <w:sz w:val="20"/>
        </w:rPr>
        <w:t>注：人力资源管理体系信息见ISO 30201。</w:t>
      </w:r>
    </w:p>
    <w:p w14:paraId="06DB7E95">
      <w:pPr>
        <w:keepNext/>
        <w:spacing w:before="160" w:after="0"/>
        <w:jc w:val="left"/>
      </w:pPr>
      <w:r>
        <w:rPr>
          <w:rFonts w:ascii="Times New Roman" w:hAnsi="Times New Roman" w:eastAsia="宋体"/>
          <w:b/>
          <w:i w:val="0"/>
          <w:color w:val="000000"/>
          <w:sz w:val="21"/>
        </w:rPr>
        <w:t>A.7.1.3  Infrastructure</w:t>
      </w:r>
    </w:p>
    <w:p w14:paraId="356052BB">
      <w:pPr>
        <w:spacing w:before="0" w:after="80"/>
        <w:jc w:val="left"/>
      </w:pPr>
      <w:r>
        <w:rPr>
          <w:rFonts w:ascii="Times New Roman" w:hAnsi="Times New Roman" w:eastAsia="黑体"/>
          <w:b w:val="0"/>
          <w:i w:val="0"/>
          <w:color w:val="000000"/>
          <w:sz w:val="21"/>
        </w:rPr>
        <w:t>A.7.1.3  基础设施</w:t>
      </w:r>
    </w:p>
    <w:p w14:paraId="61DE86BC">
      <w:pPr>
        <w:keepNext/>
        <w:spacing w:before="60" w:after="0"/>
        <w:jc w:val="both"/>
      </w:pPr>
      <w:r>
        <w:rPr>
          <w:rFonts w:ascii="Times New Roman" w:hAnsi="Times New Roman" w:eastAsia="宋体"/>
          <w:b w:val="0"/>
          <w:i w:val="0"/>
          <w:color w:val="000000"/>
          <w:sz w:val="21"/>
        </w:rPr>
        <w:t>Infrastructure includes physical resources and software needed for the operation of the organization's processes. Infrastructure interacts with other resources and processes; its suitability can affect process performance and customer satisfaction.</w:t>
      </w:r>
    </w:p>
    <w:p w14:paraId="596A8A1F">
      <w:pPr>
        <w:spacing w:before="0" w:after="100"/>
        <w:jc w:val="both"/>
      </w:pPr>
      <w:r>
        <w:rPr>
          <w:rFonts w:ascii="Times New Roman" w:hAnsi="Times New Roman" w:eastAsia="宋体"/>
          <w:b w:val="0"/>
          <w:i w:val="0"/>
          <w:color w:val="000000"/>
          <w:sz w:val="21"/>
        </w:rPr>
        <w:t>基础设施包括组织过程运行所需的物理资源和软件。基础设施与其他资源和过程相互作用，其适宜性可能影响过程绩效和顾客满意。</w:t>
      </w:r>
    </w:p>
    <w:p w14:paraId="20FAA255">
      <w:pPr>
        <w:keepNext/>
        <w:spacing w:before="60" w:after="0"/>
        <w:jc w:val="both"/>
      </w:pPr>
      <w:r>
        <w:rPr>
          <w:rFonts w:ascii="Times New Roman" w:hAnsi="Times New Roman" w:eastAsia="宋体"/>
          <w:b w:val="0"/>
          <w:i w:val="0"/>
          <w:color w:val="000000"/>
          <w:sz w:val="21"/>
        </w:rPr>
        <w:t>Infrastructure maintenance helps to ensure that conformity to requirements is consistently achieved.</w:t>
      </w:r>
    </w:p>
    <w:p w14:paraId="2C2E83CA">
      <w:pPr>
        <w:spacing w:before="0" w:after="100"/>
        <w:jc w:val="both"/>
      </w:pPr>
      <w:r>
        <w:rPr>
          <w:rFonts w:ascii="Times New Roman" w:hAnsi="Times New Roman" w:eastAsia="宋体"/>
          <w:b w:val="0"/>
          <w:i w:val="0"/>
          <w:color w:val="000000"/>
          <w:sz w:val="21"/>
        </w:rPr>
        <w:t>基础设施的维护有助于确保持续实现符合要求。</w:t>
      </w:r>
    </w:p>
    <w:p w14:paraId="77D024C0">
      <w:pPr>
        <w:keepNext/>
        <w:spacing w:before="60" w:after="0"/>
        <w:jc w:val="both"/>
      </w:pPr>
      <w:r>
        <w:rPr>
          <w:rFonts w:ascii="Times New Roman" w:hAnsi="Times New Roman" w:eastAsia="宋体"/>
          <w:b w:val="0"/>
          <w:i w:val="0"/>
          <w:color w:val="000000"/>
          <w:sz w:val="21"/>
        </w:rPr>
        <w:t>Hybrid and remote work, as well as emerging technologies, can introduce risks and opportunities for infrastructure management and control.</w:t>
      </w:r>
    </w:p>
    <w:p w14:paraId="30B855AC">
      <w:pPr>
        <w:spacing w:before="0" w:after="100"/>
        <w:jc w:val="both"/>
      </w:pPr>
      <w:r>
        <w:rPr>
          <w:rFonts w:ascii="Times New Roman" w:hAnsi="Times New Roman" w:eastAsia="宋体"/>
          <w:b w:val="0"/>
          <w:i w:val="0"/>
          <w:color w:val="000000"/>
          <w:sz w:val="21"/>
        </w:rPr>
        <w:t>混合办公和远程办公以及新兴技术，可能给基础设施的管理和控制带来风险和机遇。</w:t>
      </w:r>
    </w:p>
    <w:p w14:paraId="560DBA64">
      <w:pPr>
        <w:keepNext/>
        <w:spacing w:before="60" w:after="0"/>
        <w:jc w:val="both"/>
      </w:pPr>
      <w:r>
        <w:rPr>
          <w:rFonts w:ascii="Times New Roman" w:hAnsi="Times New Roman" w:eastAsia="宋体"/>
          <w:b w:val="0"/>
          <w:i w:val="0"/>
          <w:color w:val="000000"/>
          <w:sz w:val="21"/>
        </w:rPr>
        <w:t>Customers and other relevant interested parties can have specific requirements for infrastructure management, including its disposal or recycling.</w:t>
      </w:r>
    </w:p>
    <w:p w14:paraId="7C032069">
      <w:pPr>
        <w:spacing w:before="0" w:after="100"/>
        <w:jc w:val="both"/>
      </w:pPr>
      <w:r>
        <w:rPr>
          <w:rFonts w:ascii="Times New Roman" w:hAnsi="Times New Roman" w:eastAsia="宋体"/>
          <w:b w:val="0"/>
          <w:i w:val="0"/>
          <w:color w:val="000000"/>
          <w:sz w:val="21"/>
        </w:rPr>
        <w:t>顾客和其他相关方可能对基础设施管理有特定要求，包括其处置或回收。</w:t>
      </w:r>
    </w:p>
    <w:p w14:paraId="06F6FEC3">
      <w:pPr>
        <w:keepNext/>
        <w:spacing w:before="60" w:after="0"/>
        <w:jc w:val="both"/>
      </w:pPr>
      <w:r>
        <w:rPr>
          <w:rFonts w:ascii="Times New Roman" w:hAnsi="Times New Roman" w:eastAsia="宋体"/>
          <w:b w:val="0"/>
          <w:i w:val="0"/>
          <w:color w:val="000000"/>
          <w:sz w:val="21"/>
        </w:rPr>
        <w:t>Infrastructure management can require integration with other management systems, such as those for environmental management, occupational health and safety management, or asset management.</w:t>
      </w:r>
    </w:p>
    <w:p w14:paraId="761C1715">
      <w:pPr>
        <w:spacing w:before="0" w:after="100"/>
        <w:jc w:val="both"/>
      </w:pPr>
      <w:r>
        <w:rPr>
          <w:rFonts w:ascii="Times New Roman" w:hAnsi="Times New Roman" w:eastAsia="宋体"/>
          <w:b w:val="0"/>
          <w:i w:val="0"/>
          <w:color w:val="000000"/>
          <w:sz w:val="21"/>
        </w:rPr>
        <w:t>基础设施管理可能需要与其他管理体系相整合，如环境管理体系、职业健康安全管理体系或资产管理体系。</w:t>
      </w:r>
    </w:p>
    <w:p w14:paraId="57F74872">
      <w:pPr>
        <w:keepNext/>
        <w:spacing w:before="160" w:after="0"/>
        <w:jc w:val="left"/>
      </w:pPr>
      <w:r>
        <w:rPr>
          <w:rFonts w:ascii="Times New Roman" w:hAnsi="Times New Roman" w:eastAsia="宋体"/>
          <w:b/>
          <w:i w:val="0"/>
          <w:color w:val="000000"/>
          <w:sz w:val="21"/>
        </w:rPr>
        <w:t>A.7.1.4  Environment for the operation of processes</w:t>
      </w:r>
    </w:p>
    <w:p w14:paraId="14A206A3">
      <w:pPr>
        <w:spacing w:before="0" w:after="80"/>
        <w:jc w:val="left"/>
      </w:pPr>
      <w:r>
        <w:rPr>
          <w:rFonts w:ascii="Times New Roman" w:hAnsi="Times New Roman" w:eastAsia="黑体"/>
          <w:b w:val="0"/>
          <w:i w:val="0"/>
          <w:color w:val="000000"/>
          <w:sz w:val="21"/>
        </w:rPr>
        <w:t>A.7.1.4  过程运行环境</w:t>
      </w:r>
    </w:p>
    <w:p w14:paraId="77BDEBD4">
      <w:pPr>
        <w:keepNext/>
        <w:spacing w:before="60" w:after="0"/>
        <w:jc w:val="both"/>
      </w:pPr>
      <w:r>
        <w:rPr>
          <w:rFonts w:ascii="Times New Roman" w:hAnsi="Times New Roman" w:eastAsia="宋体"/>
          <w:b w:val="0"/>
          <w:i w:val="0"/>
          <w:color w:val="000000"/>
          <w:sz w:val="21"/>
        </w:rPr>
        <w:t>The environment for the operation of processes comprises factors that influence the ability of the organization to achieve conformity to applicable statutory and regulatory requirements and enhance customer satisfaction.</w:t>
      </w:r>
    </w:p>
    <w:p w14:paraId="2020EDA8">
      <w:pPr>
        <w:spacing w:before="0" w:after="100"/>
        <w:jc w:val="both"/>
      </w:pPr>
      <w:r>
        <w:rPr>
          <w:rFonts w:ascii="Times New Roman" w:hAnsi="Times New Roman" w:eastAsia="宋体"/>
          <w:b w:val="0"/>
          <w:i w:val="0"/>
          <w:color w:val="000000"/>
          <w:sz w:val="21"/>
        </w:rPr>
        <w:t>过程运行环境由影响组织实现适用的法律法规要求符合性以及增强顾客满意能力的诸因素构成。</w:t>
      </w:r>
    </w:p>
    <w:p w14:paraId="0B32E5CE">
      <w:pPr>
        <w:keepNext/>
        <w:spacing w:before="60" w:after="0"/>
        <w:jc w:val="both"/>
      </w:pPr>
      <w:r>
        <w:rPr>
          <w:rFonts w:ascii="Times New Roman" w:hAnsi="Times New Roman" w:eastAsia="宋体"/>
          <w:b w:val="0"/>
          <w:i w:val="0"/>
          <w:color w:val="000000"/>
          <w:sz w:val="21"/>
        </w:rPr>
        <w:t>This environment can evolve due to changes such as emerging technologies and working practices, and its management can become more complex when not under the organization's direct control. It can also be critical from the customer perspective and affect the perception of satisfaction.</w:t>
      </w:r>
    </w:p>
    <w:p w14:paraId="7386113F">
      <w:pPr>
        <w:spacing w:before="0" w:after="100"/>
        <w:jc w:val="both"/>
      </w:pPr>
      <w:r>
        <w:rPr>
          <w:rFonts w:ascii="Times New Roman" w:hAnsi="Times New Roman" w:eastAsia="宋体"/>
          <w:b w:val="0"/>
          <w:i w:val="0"/>
          <w:color w:val="000000"/>
          <w:sz w:val="21"/>
        </w:rPr>
        <w:t>该环境可能因新兴技术和工作实践等变化而演变；当其不受组织直接控制时，其管理可能变得更加复杂。从顾客的角度来看，该环境也可能是至关重要的，并影响顾客对满意的感知。</w:t>
      </w:r>
    </w:p>
    <w:p w14:paraId="059B72F3">
      <w:pPr>
        <w:keepNext/>
        <w:spacing w:before="60" w:after="0"/>
        <w:jc w:val="both"/>
      </w:pPr>
      <w:r>
        <w:rPr>
          <w:rFonts w:ascii="Times New Roman" w:hAnsi="Times New Roman" w:eastAsia="宋体"/>
          <w:b w:val="0"/>
          <w:i w:val="0"/>
          <w:color w:val="000000"/>
          <w:sz w:val="21"/>
        </w:rPr>
        <w:t>Requirements for the environment for the operation of processes under a quality management system can be related to those in other management systems, such as for occupational health and safety or environmental management. While the needs arising from other management systems are not addressed within the scope of the quality management system, their influence on quality management system processes can be relevant.</w:t>
      </w:r>
    </w:p>
    <w:p w14:paraId="25B2EAC1">
      <w:pPr>
        <w:spacing w:before="0" w:after="100"/>
        <w:jc w:val="both"/>
      </w:pPr>
      <w:r>
        <w:rPr>
          <w:rFonts w:ascii="Times New Roman" w:hAnsi="Times New Roman" w:eastAsia="宋体"/>
          <w:b w:val="0"/>
          <w:i w:val="0"/>
          <w:color w:val="000000"/>
          <w:sz w:val="21"/>
        </w:rPr>
        <w:t>质量管理体系中过程运行环境的要求可能与其他管理体系（如职业健康安全管理或环境管理）中的要求相关联。虽然源自其他管理体系的需求不在质量管理体系的范围内处理，但其对质量管理体系过程的影响可能是相关的。</w:t>
      </w:r>
    </w:p>
    <w:p w14:paraId="1A55DB2B">
      <w:pPr>
        <w:keepNext/>
        <w:spacing w:before="160" w:after="0"/>
        <w:jc w:val="left"/>
      </w:pPr>
      <w:r>
        <w:rPr>
          <w:rFonts w:ascii="Times New Roman" w:hAnsi="Times New Roman" w:eastAsia="宋体"/>
          <w:b/>
          <w:i w:val="0"/>
          <w:color w:val="000000"/>
          <w:sz w:val="21"/>
        </w:rPr>
        <w:t>A.7.1.5  Monitoring and measuring resources</w:t>
      </w:r>
    </w:p>
    <w:p w14:paraId="7655E250">
      <w:pPr>
        <w:spacing w:before="0" w:after="80"/>
        <w:jc w:val="left"/>
      </w:pPr>
      <w:r>
        <w:rPr>
          <w:rFonts w:ascii="Times New Roman" w:hAnsi="Times New Roman" w:eastAsia="黑体"/>
          <w:b w:val="0"/>
          <w:i w:val="0"/>
          <w:color w:val="000000"/>
          <w:sz w:val="21"/>
        </w:rPr>
        <w:t>A.7.1.5  监视和测量资源</w:t>
      </w:r>
    </w:p>
    <w:p w14:paraId="7F6A5C7F">
      <w:pPr>
        <w:keepNext/>
        <w:spacing w:before="60" w:after="0"/>
        <w:jc w:val="both"/>
      </w:pPr>
      <w:r>
        <w:rPr>
          <w:rFonts w:ascii="Times New Roman" w:hAnsi="Times New Roman" w:eastAsia="宋体"/>
          <w:b w:val="0"/>
          <w:i w:val="0"/>
          <w:color w:val="000000"/>
          <w:sz w:val="21"/>
        </w:rPr>
        <w:t>For many organizations, monitoring and measuring resources are essential to demonstrate conformity of their products and services or to ensure control of their processes to achieve intended results. Requirements in 7.1.5 are intended to ensure that the resources provide valid results.</w:t>
      </w:r>
    </w:p>
    <w:p w14:paraId="7D7DA19F">
      <w:pPr>
        <w:spacing w:before="0" w:after="100"/>
        <w:jc w:val="both"/>
      </w:pPr>
      <w:r>
        <w:rPr>
          <w:rFonts w:ascii="Times New Roman" w:hAnsi="Times New Roman" w:eastAsia="宋体"/>
          <w:b w:val="0"/>
          <w:i w:val="0"/>
          <w:color w:val="000000"/>
          <w:sz w:val="21"/>
        </w:rPr>
        <w:t>对许多组织而言，监视和测量资源对于证实其产品和服务的合格或确保对过程的控制以实现预期结果至关重要。7.1.5中的要求旨在确保这些资源能够提供有效的结果。</w:t>
      </w:r>
    </w:p>
    <w:p w14:paraId="001F3F5D">
      <w:pPr>
        <w:keepNext/>
        <w:spacing w:before="60" w:after="0"/>
        <w:jc w:val="both"/>
      </w:pPr>
      <w:r>
        <w:rPr>
          <w:rFonts w:ascii="Times New Roman" w:hAnsi="Times New Roman" w:eastAsia="宋体"/>
          <w:b w:val="0"/>
          <w:i w:val="0"/>
          <w:color w:val="000000"/>
          <w:sz w:val="21"/>
        </w:rPr>
        <w:t>Monitoring determines the status of something and can involve observing, supervising or keeping under review, especially to confirm control and the status of conformity. Measurement is a process that determines the value of a specified characteristic or parameter and can be used for a physical quantity, magnitude or dimension using measuring resources, especially equipment. It can also apply to less tangible aspects, such as customer satisfaction or process performance, using appropriate methods, including information technology (IT) systems for data collection and analysis.</w:t>
      </w:r>
    </w:p>
    <w:p w14:paraId="27732CC3">
      <w:pPr>
        <w:spacing w:before="0" w:after="100"/>
        <w:jc w:val="both"/>
      </w:pPr>
      <w:r>
        <w:rPr>
          <w:rFonts w:ascii="Times New Roman" w:hAnsi="Times New Roman" w:eastAsia="宋体"/>
          <w:b w:val="0"/>
          <w:i w:val="0"/>
          <w:color w:val="000000"/>
          <w:sz w:val="21"/>
        </w:rPr>
        <w:t>监视确定某事物的状态，可包括观察、监督或保持评审，特别是为了确认控制状态和合格状态。测量是确定特定特性或参数数值的过程，可借助测量资源（尤其是设备）用于物理量、量值或尺寸；也可采用适当的方法（包括用于数据收集和分析的信息技术（IT）系统）应用于不太有形的方面，如顾客满意或过程绩效。</w:t>
      </w:r>
    </w:p>
    <w:p w14:paraId="6B85AC68">
      <w:pPr>
        <w:keepNext/>
        <w:spacing w:before="60" w:after="0"/>
        <w:jc w:val="both"/>
      </w:pPr>
      <w:r>
        <w:rPr>
          <w:rFonts w:ascii="Times New Roman" w:hAnsi="Times New Roman" w:eastAsia="宋体"/>
          <w:b w:val="0"/>
          <w:i w:val="0"/>
          <w:color w:val="000000"/>
          <w:sz w:val="21"/>
        </w:rPr>
        <w:t>Monitoring and measuring resources can include non-equipment elements, such as defined criteria for evaluation or the competence of people involved in monitoring or measurement activities.</w:t>
      </w:r>
    </w:p>
    <w:p w14:paraId="49F1CA2C">
      <w:pPr>
        <w:spacing w:before="0" w:after="100"/>
        <w:jc w:val="both"/>
      </w:pPr>
      <w:r>
        <w:rPr>
          <w:rFonts w:ascii="Times New Roman" w:hAnsi="Times New Roman" w:eastAsia="宋体"/>
          <w:b w:val="0"/>
          <w:i w:val="0"/>
          <w:color w:val="000000"/>
          <w:sz w:val="21"/>
        </w:rPr>
        <w:t>监视和测量资源可包括非设备要素，如规定的评价准则，或参与监视和测量活动的人员的能力。</w:t>
      </w:r>
    </w:p>
    <w:p w14:paraId="0DD13AC5">
      <w:pPr>
        <w:keepNext/>
        <w:spacing w:before="60" w:after="0"/>
        <w:jc w:val="both"/>
      </w:pPr>
      <w:r>
        <w:rPr>
          <w:rFonts w:ascii="Times New Roman" w:hAnsi="Times New Roman" w:eastAsia="宋体"/>
          <w:b w:val="0"/>
          <w:i w:val="0"/>
          <w:color w:val="000000"/>
          <w:sz w:val="21"/>
        </w:rPr>
        <w:t>Depending on the specific circumstances, monitoring or measuring equipment can be used for indication, monitoring or measuring purposes. In some cases, the same type of equipment can be used for any or all three functions.</w:t>
      </w:r>
    </w:p>
    <w:p w14:paraId="225348A3">
      <w:pPr>
        <w:spacing w:before="0" w:after="100"/>
        <w:jc w:val="both"/>
      </w:pPr>
      <w:r>
        <w:rPr>
          <w:rFonts w:ascii="Times New Roman" w:hAnsi="Times New Roman" w:eastAsia="宋体"/>
          <w:b w:val="0"/>
          <w:i w:val="0"/>
          <w:color w:val="000000"/>
          <w:sz w:val="21"/>
        </w:rPr>
        <w:t>根据具体情况，监视或测量设备可用于指示、监视或测量目的。在某些情况下，同一类型的设备可用于其中任一功能或全部三种功能。</w:t>
      </w:r>
    </w:p>
    <w:p w14:paraId="31FA89DA">
      <w:pPr>
        <w:keepNext/>
        <w:spacing w:before="60" w:after="0"/>
        <w:jc w:val="both"/>
      </w:pPr>
      <w:r>
        <w:rPr>
          <w:rFonts w:ascii="Times New Roman" w:hAnsi="Times New Roman" w:eastAsia="宋体"/>
          <w:b w:val="0"/>
          <w:i w:val="0"/>
          <w:color w:val="000000"/>
          <w:sz w:val="21"/>
        </w:rPr>
        <w:t>The level and extent of control applied to monitoring and measuring resources depend on their intended use and can vary according to the nature of processes, their outputs, products, services and related risks. Control can include activities such as verification or calibration at suitable intervals, using a risk-based approach.</w:t>
      </w:r>
    </w:p>
    <w:p w14:paraId="29445466">
      <w:pPr>
        <w:spacing w:before="0" w:after="100"/>
        <w:jc w:val="both"/>
      </w:pPr>
      <w:r>
        <w:rPr>
          <w:rFonts w:ascii="Times New Roman" w:hAnsi="Times New Roman" w:eastAsia="宋体"/>
          <w:b w:val="0"/>
          <w:i w:val="0"/>
          <w:color w:val="000000"/>
          <w:sz w:val="21"/>
        </w:rPr>
        <w:t>对监视和测量资源实施控制的水平和程度取决于其预期用途，并可因过程、其输出、产品、服务及相关风险的性质而异。控制可包括诸如采用基于风险的方法，以适宜的时间间隔实施验证或校准等活动。</w:t>
      </w:r>
    </w:p>
    <w:p w14:paraId="386018B0">
      <w:pPr>
        <w:keepNext/>
        <w:spacing w:before="60" w:after="0"/>
        <w:jc w:val="both"/>
      </w:pPr>
      <w:r>
        <w:rPr>
          <w:rFonts w:ascii="Times New Roman" w:hAnsi="Times New Roman" w:eastAsia="宋体"/>
          <w:b w:val="0"/>
          <w:i w:val="0"/>
          <w:color w:val="000000"/>
          <w:sz w:val="21"/>
        </w:rPr>
        <w:t>Traceability of measurement results (see 7.1.5.2) typically includes calibration or verification of measuring equipment against recognized standards or reference materials when necessary. Traceability can apply to measurements performed by the organization, its external providers or by its products when they include measurement functions.</w:t>
      </w:r>
    </w:p>
    <w:p w14:paraId="64DF3E5A">
      <w:pPr>
        <w:spacing w:before="0" w:after="100"/>
        <w:jc w:val="both"/>
      </w:pPr>
      <w:r>
        <w:rPr>
          <w:rFonts w:ascii="Times New Roman" w:hAnsi="Times New Roman" w:eastAsia="宋体"/>
          <w:b w:val="0"/>
          <w:i w:val="0"/>
          <w:color w:val="000000"/>
          <w:sz w:val="21"/>
        </w:rPr>
        <w:t>测量结果的溯源性（见7.1.5.2）通常包括必要时将测量设备与公认的标准或参考物质进行校准或检定。溯源性可适用于由组织、其外部供方实施的测量，或其产品含有测量功能时由产品实施的测量。</w:t>
      </w:r>
    </w:p>
    <w:p w14:paraId="42342653">
      <w:pPr>
        <w:keepNext/>
        <w:spacing w:before="20" w:after="0"/>
        <w:ind w:left="227"/>
        <w:jc w:val="both"/>
      </w:pPr>
      <w:r>
        <w:rPr>
          <w:rFonts w:ascii="Times New Roman" w:hAnsi="Times New Roman" w:eastAsia="宋体"/>
          <w:b w:val="0"/>
          <w:i/>
          <w:color w:val="000000"/>
          <w:sz w:val="20"/>
        </w:rPr>
        <w:t>NOTE — See ISO 10012 for requirements for measurement management systems.</w:t>
      </w:r>
    </w:p>
    <w:p w14:paraId="3258F444">
      <w:pPr>
        <w:spacing w:before="0" w:after="100"/>
        <w:ind w:left="227"/>
        <w:jc w:val="both"/>
      </w:pPr>
      <w:r>
        <w:rPr>
          <w:rFonts w:ascii="Times New Roman" w:hAnsi="Times New Roman" w:eastAsia="宋体"/>
          <w:b w:val="0"/>
          <w:i w:val="0"/>
          <w:color w:val="000000"/>
          <w:sz w:val="20"/>
        </w:rPr>
        <w:t>注：测量管理体系要求见ISO 10012。</w:t>
      </w:r>
    </w:p>
    <w:p w14:paraId="75FA9514">
      <w:pPr>
        <w:keepNext/>
        <w:spacing w:before="160" w:after="0"/>
        <w:jc w:val="left"/>
      </w:pPr>
      <w:r>
        <w:rPr>
          <w:rFonts w:ascii="Times New Roman" w:hAnsi="Times New Roman" w:eastAsia="宋体"/>
          <w:b/>
          <w:i w:val="0"/>
          <w:color w:val="000000"/>
          <w:sz w:val="21"/>
        </w:rPr>
        <w:t>A.7.1.6  Organizational knowledge</w:t>
      </w:r>
    </w:p>
    <w:p w14:paraId="7C757E5F">
      <w:pPr>
        <w:spacing w:before="0" w:after="80"/>
        <w:jc w:val="left"/>
      </w:pPr>
      <w:r>
        <w:rPr>
          <w:rFonts w:ascii="Times New Roman" w:hAnsi="Times New Roman" w:eastAsia="黑体"/>
          <w:b w:val="0"/>
          <w:i w:val="0"/>
          <w:color w:val="000000"/>
          <w:sz w:val="21"/>
        </w:rPr>
        <w:t>A.7.1.6  组织的知识</w:t>
      </w:r>
    </w:p>
    <w:p w14:paraId="4222ABCE">
      <w:pPr>
        <w:keepNext/>
        <w:spacing w:before="60" w:after="0"/>
        <w:jc w:val="both"/>
      </w:pPr>
      <w:r>
        <w:rPr>
          <w:rFonts w:ascii="Times New Roman" w:hAnsi="Times New Roman" w:eastAsia="宋体"/>
          <w:b w:val="0"/>
          <w:i w:val="0"/>
          <w:color w:val="000000"/>
          <w:sz w:val="21"/>
        </w:rPr>
        <w:t>Organizational knowledge relates to knowledge maintained and applied to support the operation of processes and achieve the intended results of the quality management system.</w:t>
      </w:r>
    </w:p>
    <w:p w14:paraId="38191A0B">
      <w:pPr>
        <w:spacing w:before="0" w:after="100"/>
        <w:jc w:val="both"/>
      </w:pPr>
      <w:r>
        <w:rPr>
          <w:rFonts w:ascii="Times New Roman" w:hAnsi="Times New Roman" w:eastAsia="宋体"/>
          <w:b w:val="0"/>
          <w:i w:val="0"/>
          <w:color w:val="000000"/>
          <w:sz w:val="21"/>
        </w:rPr>
        <w:t>组织的知识涉及为支持过程运行和实现质量管理体系预期结果而保持和应用的知识。</w:t>
      </w:r>
    </w:p>
    <w:p w14:paraId="2BE5928D">
      <w:pPr>
        <w:keepNext/>
        <w:spacing w:before="60" w:after="0"/>
        <w:jc w:val="both"/>
      </w:pPr>
      <w:r>
        <w:rPr>
          <w:rFonts w:ascii="Times New Roman" w:hAnsi="Times New Roman" w:eastAsia="宋体"/>
          <w:b w:val="0"/>
          <w:i w:val="0"/>
          <w:color w:val="000000"/>
          <w:sz w:val="21"/>
        </w:rPr>
        <w:t>Organizational knowledge is dynamic and evolves as the organization's context changes and knowledge is updated through use and experience. Management of knowledge involves activities such as acquiring or creating new knowledge, applying knowledge appropriately, maintaining knowledge so it remains valid and relevant, and retaining knowledge to reduce risks associated with its loss.</w:t>
      </w:r>
    </w:p>
    <w:p w14:paraId="489AE49F">
      <w:pPr>
        <w:spacing w:before="0" w:after="100"/>
        <w:jc w:val="both"/>
      </w:pPr>
      <w:r>
        <w:rPr>
          <w:rFonts w:ascii="Times New Roman" w:hAnsi="Times New Roman" w:eastAsia="宋体"/>
          <w:b w:val="0"/>
          <w:i w:val="0"/>
          <w:color w:val="000000"/>
          <w:sz w:val="21"/>
        </w:rPr>
        <w:t>组织的知识是动态的，随着组织环境的变化以及知识在应用和经验中的更新而演变。知识的管理涉及诸如获取或创造新知识、恰当地应用知识、维护知识使其保持有效和相关，以及保留知识以降低与其丢失相关的风险等活动。</w:t>
      </w:r>
    </w:p>
    <w:p w14:paraId="5AF49647">
      <w:pPr>
        <w:keepNext/>
        <w:spacing w:before="20" w:after="0"/>
        <w:ind w:left="227"/>
        <w:jc w:val="both"/>
      </w:pPr>
      <w:r>
        <w:rPr>
          <w:rFonts w:ascii="Times New Roman" w:hAnsi="Times New Roman" w:eastAsia="宋体"/>
          <w:b w:val="0"/>
          <w:i/>
          <w:color w:val="000000"/>
          <w:sz w:val="20"/>
        </w:rPr>
        <w:t>NOTE — See ISO 30401 for knowledge management system requirements.</w:t>
      </w:r>
    </w:p>
    <w:p w14:paraId="4D7C4C83">
      <w:pPr>
        <w:spacing w:before="0" w:after="100"/>
        <w:ind w:left="227"/>
        <w:jc w:val="both"/>
      </w:pPr>
      <w:r>
        <w:rPr>
          <w:rFonts w:ascii="Times New Roman" w:hAnsi="Times New Roman" w:eastAsia="宋体"/>
          <w:b w:val="0"/>
          <w:i w:val="0"/>
          <w:color w:val="000000"/>
          <w:sz w:val="20"/>
        </w:rPr>
        <w:t>注：知识管理体系要求见ISO 30401。</w:t>
      </w:r>
    </w:p>
    <w:p w14:paraId="296006C0">
      <w:pPr>
        <w:keepNext/>
        <w:spacing w:before="160" w:after="0"/>
        <w:jc w:val="left"/>
      </w:pPr>
      <w:r>
        <w:rPr>
          <w:rFonts w:ascii="Times New Roman" w:hAnsi="Times New Roman" w:eastAsia="宋体"/>
          <w:b/>
          <w:i w:val="0"/>
          <w:color w:val="000000"/>
          <w:sz w:val="21"/>
        </w:rPr>
        <w:t>A.7.2  Competence</w:t>
      </w:r>
    </w:p>
    <w:p w14:paraId="12EA041D">
      <w:pPr>
        <w:spacing w:before="0" w:after="80"/>
        <w:jc w:val="left"/>
      </w:pPr>
      <w:r>
        <w:rPr>
          <w:rFonts w:ascii="Times New Roman" w:hAnsi="Times New Roman" w:eastAsia="黑体"/>
          <w:b w:val="0"/>
          <w:i w:val="0"/>
          <w:color w:val="000000"/>
          <w:sz w:val="21"/>
        </w:rPr>
        <w:t>A.7.2  能力</w:t>
      </w:r>
    </w:p>
    <w:p w14:paraId="7EB3C7B6">
      <w:pPr>
        <w:keepNext/>
        <w:spacing w:before="60" w:after="0"/>
        <w:jc w:val="both"/>
      </w:pPr>
      <w:r>
        <w:rPr>
          <w:rFonts w:ascii="Times New Roman" w:hAnsi="Times New Roman" w:eastAsia="宋体"/>
          <w:b w:val="0"/>
          <w:i w:val="0"/>
          <w:color w:val="000000"/>
          <w:sz w:val="21"/>
        </w:rPr>
        <w:t>Subclause 7.2 applies to all persons whose work affects the performance of the quality management system, whether they are within the organizational structure or working under the organization's control.</w:t>
      </w:r>
    </w:p>
    <w:p w14:paraId="1B835FA9">
      <w:pPr>
        <w:spacing w:before="0" w:after="100"/>
        <w:jc w:val="both"/>
      </w:pPr>
      <w:r>
        <w:rPr>
          <w:rFonts w:ascii="Times New Roman" w:hAnsi="Times New Roman" w:eastAsia="宋体"/>
          <w:b w:val="0"/>
          <w:i w:val="0"/>
          <w:color w:val="000000"/>
          <w:sz w:val="21"/>
        </w:rPr>
        <w:t>子条款7.2适用于其工作影响质量管理体系绩效的所有人员，无论其处于组织架构之内，还是在组织控制下工作。</w:t>
      </w:r>
    </w:p>
    <w:p w14:paraId="0FB73944">
      <w:pPr>
        <w:keepNext/>
        <w:spacing w:before="60" w:after="0"/>
        <w:jc w:val="both"/>
      </w:pPr>
      <w:r>
        <w:rPr>
          <w:rFonts w:ascii="Times New Roman" w:hAnsi="Times New Roman" w:eastAsia="宋体"/>
          <w:b w:val="0"/>
          <w:i w:val="0"/>
          <w:color w:val="000000"/>
          <w:sz w:val="21"/>
        </w:rPr>
        <w:t>Competence requirements can evolve as the organization's context changes and recognizing this supports the achievement of intended results of the quality management system.</w:t>
      </w:r>
    </w:p>
    <w:p w14:paraId="0FB6E1DD">
      <w:pPr>
        <w:spacing w:before="0" w:after="100"/>
        <w:jc w:val="both"/>
      </w:pPr>
      <w:r>
        <w:rPr>
          <w:rFonts w:ascii="Times New Roman" w:hAnsi="Times New Roman" w:eastAsia="宋体"/>
          <w:b w:val="0"/>
          <w:i w:val="0"/>
          <w:color w:val="000000"/>
          <w:sz w:val="21"/>
        </w:rPr>
        <w:t>能力要求可随着组织环境的变化而演变，认识到这一点有助于实现质量管理体系的预期结果。</w:t>
      </w:r>
    </w:p>
    <w:p w14:paraId="3EDFB1D8">
      <w:pPr>
        <w:keepNext/>
        <w:spacing w:before="60" w:after="0"/>
        <w:jc w:val="both"/>
      </w:pPr>
      <w:r>
        <w:rPr>
          <w:rFonts w:ascii="Times New Roman" w:hAnsi="Times New Roman" w:eastAsia="宋体"/>
          <w:b w:val="0"/>
          <w:i w:val="0"/>
          <w:color w:val="000000"/>
          <w:sz w:val="21"/>
        </w:rPr>
        <w:t>Competence can influence risks related to process performance and conformity of products and services.</w:t>
      </w:r>
    </w:p>
    <w:p w14:paraId="71E45FCD">
      <w:pPr>
        <w:spacing w:before="0" w:after="100"/>
        <w:jc w:val="both"/>
      </w:pPr>
      <w:r>
        <w:rPr>
          <w:rFonts w:ascii="Times New Roman" w:hAnsi="Times New Roman" w:eastAsia="宋体"/>
          <w:b w:val="0"/>
          <w:i w:val="0"/>
          <w:color w:val="000000"/>
          <w:sz w:val="21"/>
        </w:rPr>
        <w:t>能力可能影响与过程绩效以及产品和服务合格相关的风险。</w:t>
      </w:r>
    </w:p>
    <w:p w14:paraId="5CCE50CA">
      <w:pPr>
        <w:keepNext/>
        <w:spacing w:before="20" w:after="0"/>
        <w:ind w:left="227"/>
        <w:jc w:val="both"/>
      </w:pPr>
      <w:r>
        <w:rPr>
          <w:rFonts w:ascii="Times New Roman" w:hAnsi="Times New Roman" w:eastAsia="宋体"/>
          <w:b w:val="0"/>
          <w:i/>
          <w:color w:val="000000"/>
          <w:sz w:val="20"/>
        </w:rPr>
        <w:t>NOTE 1 — See ISO 10015 for guidance on competence management and people development.</w:t>
      </w:r>
    </w:p>
    <w:p w14:paraId="4D1C1104">
      <w:pPr>
        <w:spacing w:before="0" w:after="100"/>
        <w:ind w:left="227"/>
        <w:jc w:val="both"/>
      </w:pPr>
      <w:r>
        <w:rPr>
          <w:rFonts w:ascii="Times New Roman" w:hAnsi="Times New Roman" w:eastAsia="宋体"/>
          <w:b w:val="0"/>
          <w:i w:val="0"/>
          <w:color w:val="000000"/>
          <w:sz w:val="20"/>
        </w:rPr>
        <w:t>注1：能力管理和人员发展指南见ISO 10015。</w:t>
      </w:r>
    </w:p>
    <w:p w14:paraId="1774DD66">
      <w:pPr>
        <w:keepNext/>
        <w:spacing w:before="20" w:after="0"/>
        <w:ind w:left="227"/>
        <w:jc w:val="both"/>
      </w:pPr>
      <w:r>
        <w:rPr>
          <w:rFonts w:ascii="Times New Roman" w:hAnsi="Times New Roman" w:eastAsia="宋体"/>
          <w:b w:val="0"/>
          <w:i/>
          <w:color w:val="000000"/>
          <w:sz w:val="20"/>
        </w:rPr>
        <w:t>NOTE 2 — See ISO 19011 for further information on competence of auditors for management system standards.</w:t>
      </w:r>
    </w:p>
    <w:p w14:paraId="198C9506">
      <w:pPr>
        <w:spacing w:before="0" w:after="100"/>
        <w:ind w:left="227"/>
        <w:jc w:val="both"/>
      </w:pPr>
      <w:r>
        <w:rPr>
          <w:rFonts w:ascii="Times New Roman" w:hAnsi="Times New Roman" w:eastAsia="宋体"/>
          <w:b w:val="0"/>
          <w:i w:val="0"/>
          <w:color w:val="000000"/>
          <w:sz w:val="20"/>
        </w:rPr>
        <w:t>注2：有关管理体系标准审核员能力的更多信息，见ISO 19011。</w:t>
      </w:r>
    </w:p>
    <w:p w14:paraId="0465C0C4">
      <w:pPr>
        <w:keepNext/>
        <w:spacing w:before="160" w:after="0"/>
        <w:jc w:val="left"/>
      </w:pPr>
      <w:r>
        <w:rPr>
          <w:rFonts w:ascii="Times New Roman" w:hAnsi="Times New Roman" w:eastAsia="宋体"/>
          <w:b/>
          <w:i w:val="0"/>
          <w:color w:val="000000"/>
          <w:sz w:val="21"/>
        </w:rPr>
        <w:t>A.7.3  Awareness</w:t>
      </w:r>
    </w:p>
    <w:p w14:paraId="276EAA05">
      <w:pPr>
        <w:spacing w:before="0" w:after="80"/>
        <w:jc w:val="left"/>
      </w:pPr>
      <w:r>
        <w:rPr>
          <w:rFonts w:ascii="Times New Roman" w:hAnsi="Times New Roman" w:eastAsia="黑体"/>
          <w:b w:val="0"/>
          <w:i w:val="0"/>
          <w:color w:val="000000"/>
          <w:sz w:val="21"/>
        </w:rPr>
        <w:t>A.7.3  意识</w:t>
      </w:r>
    </w:p>
    <w:p w14:paraId="3AA466F1">
      <w:pPr>
        <w:keepNext/>
        <w:spacing w:before="60" w:after="0"/>
        <w:jc w:val="both"/>
      </w:pPr>
      <w:r>
        <w:rPr>
          <w:rFonts w:ascii="Times New Roman" w:hAnsi="Times New Roman" w:eastAsia="宋体"/>
          <w:b w:val="0"/>
          <w:i w:val="0"/>
          <w:color w:val="000000"/>
          <w:sz w:val="21"/>
        </w:rPr>
        <w:t>People are aware when they understand their responsibilities and authorities and how their actions contribute to the achievement of the organization's quality policy and objectives.</w:t>
      </w:r>
    </w:p>
    <w:p w14:paraId="6661F81E">
      <w:pPr>
        <w:spacing w:before="0" w:after="100"/>
        <w:jc w:val="both"/>
      </w:pPr>
      <w:r>
        <w:rPr>
          <w:rFonts w:ascii="Times New Roman" w:hAnsi="Times New Roman" w:eastAsia="宋体"/>
          <w:b w:val="0"/>
          <w:i w:val="0"/>
          <w:color w:val="000000"/>
          <w:sz w:val="21"/>
        </w:rPr>
        <w:t>当人员理解其职责和权限，并理解其行动如何有助于实现组织的质量方针和目标时，他们就是有意识的。</w:t>
      </w:r>
    </w:p>
    <w:p w14:paraId="303033E2">
      <w:pPr>
        <w:keepNext/>
        <w:spacing w:before="60" w:after="0"/>
        <w:jc w:val="both"/>
      </w:pPr>
      <w:r>
        <w:rPr>
          <w:rFonts w:ascii="Times New Roman" w:hAnsi="Times New Roman" w:eastAsia="宋体"/>
          <w:b w:val="0"/>
          <w:i w:val="0"/>
          <w:color w:val="000000"/>
          <w:sz w:val="21"/>
        </w:rPr>
        <w:t>People doing work under the organization's control can demonstrate awareness in their day-to-day activities by recognizing whether their work meets relevant requirements, and taking appropriate action when processes, products or services do not achieve intended results.</w:t>
      </w:r>
    </w:p>
    <w:p w14:paraId="3704056A">
      <w:pPr>
        <w:spacing w:before="0" w:after="100"/>
        <w:jc w:val="both"/>
      </w:pPr>
      <w:r>
        <w:rPr>
          <w:rFonts w:ascii="Times New Roman" w:hAnsi="Times New Roman" w:eastAsia="宋体"/>
          <w:b w:val="0"/>
          <w:i w:val="0"/>
          <w:color w:val="000000"/>
          <w:sz w:val="21"/>
        </w:rPr>
        <w:t>在组织控制下工作的人员可通过在日常工作活动中识别其工作是否满足相关要求，并在过程、产品或服务未实现预期结果时采取适当的行动，来展现其意识。</w:t>
      </w:r>
    </w:p>
    <w:p w14:paraId="0B82EE67">
      <w:pPr>
        <w:keepNext/>
        <w:spacing w:before="60" w:after="0"/>
        <w:jc w:val="both"/>
      </w:pPr>
      <w:r>
        <w:rPr>
          <w:rFonts w:ascii="Times New Roman" w:hAnsi="Times New Roman" w:eastAsia="宋体"/>
          <w:b w:val="0"/>
          <w:i w:val="0"/>
          <w:color w:val="000000"/>
          <w:sz w:val="21"/>
        </w:rPr>
        <w:t>Awareness can help people respond appropriately to nonconformities and incorporate risk-based thinking and opportunity-based thinking in their daily activities. Awareness can inform behaviours aligned with the quality policy and objectives, contributing to the organization's quality culture and ethical behaviour.</w:t>
      </w:r>
    </w:p>
    <w:p w14:paraId="3986FF9A">
      <w:pPr>
        <w:spacing w:before="0" w:after="100"/>
        <w:jc w:val="both"/>
      </w:pPr>
      <w:r>
        <w:rPr>
          <w:rFonts w:ascii="Times New Roman" w:hAnsi="Times New Roman" w:eastAsia="宋体"/>
          <w:b w:val="0"/>
          <w:i w:val="0"/>
          <w:color w:val="000000"/>
          <w:sz w:val="21"/>
        </w:rPr>
        <w:t>意识可帮助人员对不合格作出恰当的响应，并在其日常活动中融入基于风险的思维和基于机遇的思维。意识可引导与质量方针和目标相一致的行为，从而促进组织的质量文化和道德行为。</w:t>
      </w:r>
    </w:p>
    <w:p w14:paraId="2ECD2B21">
      <w:pPr>
        <w:keepNext/>
        <w:spacing w:before="20" w:after="0"/>
        <w:ind w:left="227"/>
        <w:jc w:val="both"/>
      </w:pPr>
      <w:r>
        <w:rPr>
          <w:rFonts w:ascii="Times New Roman" w:hAnsi="Times New Roman" w:eastAsia="宋体"/>
          <w:b w:val="0"/>
          <w:i/>
          <w:color w:val="000000"/>
          <w:sz w:val="20"/>
        </w:rPr>
        <w:t>NOTE 1 — See ISO 10010 for guidance on quality culture.</w:t>
      </w:r>
    </w:p>
    <w:p w14:paraId="4399E839">
      <w:pPr>
        <w:spacing w:before="0" w:after="100"/>
        <w:ind w:left="227"/>
        <w:jc w:val="both"/>
      </w:pPr>
      <w:r>
        <w:rPr>
          <w:rFonts w:ascii="Times New Roman" w:hAnsi="Times New Roman" w:eastAsia="宋体"/>
          <w:b w:val="0"/>
          <w:i w:val="0"/>
          <w:color w:val="000000"/>
          <w:sz w:val="20"/>
        </w:rPr>
        <w:t>注1：质量文化指南见ISO 10010。</w:t>
      </w:r>
    </w:p>
    <w:p w14:paraId="7560A690">
      <w:pPr>
        <w:keepNext/>
        <w:spacing w:before="20" w:after="0"/>
        <w:ind w:left="227"/>
        <w:jc w:val="both"/>
      </w:pPr>
      <w:r>
        <w:rPr>
          <w:rFonts w:ascii="Times New Roman" w:hAnsi="Times New Roman" w:eastAsia="宋体"/>
          <w:b w:val="0"/>
          <w:i/>
          <w:color w:val="000000"/>
          <w:sz w:val="20"/>
        </w:rPr>
        <w:t>NOTE 2 — See ISO 10018 for guidance on people engagement.</w:t>
      </w:r>
    </w:p>
    <w:p w14:paraId="6D8F8D55">
      <w:pPr>
        <w:spacing w:before="0" w:after="100"/>
        <w:ind w:left="227"/>
        <w:jc w:val="both"/>
      </w:pPr>
      <w:r>
        <w:rPr>
          <w:rFonts w:ascii="Times New Roman" w:hAnsi="Times New Roman" w:eastAsia="宋体"/>
          <w:b w:val="0"/>
          <w:i w:val="0"/>
          <w:color w:val="000000"/>
          <w:sz w:val="20"/>
        </w:rPr>
        <w:t>注2：人员积极参与指南见ISO 10018。</w:t>
      </w:r>
    </w:p>
    <w:p w14:paraId="6CEF086C">
      <w:pPr>
        <w:keepNext/>
        <w:spacing w:before="160" w:after="0"/>
        <w:jc w:val="left"/>
      </w:pPr>
      <w:r>
        <w:rPr>
          <w:rFonts w:ascii="Times New Roman" w:hAnsi="Times New Roman" w:eastAsia="宋体"/>
          <w:b/>
          <w:i w:val="0"/>
          <w:color w:val="000000"/>
          <w:sz w:val="21"/>
        </w:rPr>
        <w:t>A.7.4  Communication</w:t>
      </w:r>
    </w:p>
    <w:p w14:paraId="199BEAD6">
      <w:pPr>
        <w:spacing w:before="0" w:after="80"/>
        <w:jc w:val="left"/>
      </w:pPr>
      <w:r>
        <w:rPr>
          <w:rFonts w:ascii="Times New Roman" w:hAnsi="Times New Roman" w:eastAsia="黑体"/>
          <w:b w:val="0"/>
          <w:i w:val="0"/>
          <w:color w:val="000000"/>
          <w:sz w:val="21"/>
        </w:rPr>
        <w:t>A.7.4  沟通</w:t>
      </w:r>
    </w:p>
    <w:p w14:paraId="32928425">
      <w:pPr>
        <w:keepNext/>
        <w:spacing w:before="60" w:after="0"/>
        <w:jc w:val="both"/>
      </w:pPr>
      <w:r>
        <w:rPr>
          <w:rFonts w:ascii="Times New Roman" w:hAnsi="Times New Roman" w:eastAsia="宋体"/>
          <w:b w:val="0"/>
          <w:i w:val="0"/>
          <w:color w:val="000000"/>
          <w:sz w:val="21"/>
        </w:rPr>
        <w:t>Communication relevant to a quality management system can relate to the objectives, process inputs and outputs, responsibilities, resources and factors such as risks, opportunities and feedback from internal and external sources.</w:t>
      </w:r>
    </w:p>
    <w:p w14:paraId="3A3A1CAA">
      <w:pPr>
        <w:spacing w:before="0" w:after="100"/>
        <w:jc w:val="both"/>
      </w:pPr>
      <w:r>
        <w:rPr>
          <w:rFonts w:ascii="Times New Roman" w:hAnsi="Times New Roman" w:eastAsia="宋体"/>
          <w:b w:val="0"/>
          <w:i w:val="0"/>
          <w:color w:val="000000"/>
          <w:sz w:val="21"/>
        </w:rPr>
        <w:t>与质量管理体系相关的沟通可涉及目标、过程的输入和输出、职责、资源，以及诸如风险、机遇和来自内部和外部来源的反馈等因素。</w:t>
      </w:r>
    </w:p>
    <w:p w14:paraId="6B0227DA">
      <w:pPr>
        <w:keepNext/>
        <w:spacing w:before="60" w:after="0"/>
        <w:jc w:val="both"/>
      </w:pPr>
      <w:r>
        <w:rPr>
          <w:rFonts w:ascii="Times New Roman" w:hAnsi="Times New Roman" w:eastAsia="宋体"/>
          <w:b w:val="0"/>
          <w:i w:val="0"/>
          <w:color w:val="000000"/>
          <w:sz w:val="21"/>
        </w:rPr>
        <w:t>Communication can be planned and evaluated for effectiveness, considering risks and opportunities that affect intended results.</w:t>
      </w:r>
    </w:p>
    <w:p w14:paraId="52FECEBC">
      <w:pPr>
        <w:spacing w:before="0" w:after="100"/>
        <w:jc w:val="both"/>
      </w:pPr>
      <w:r>
        <w:rPr>
          <w:rFonts w:ascii="Times New Roman" w:hAnsi="Times New Roman" w:eastAsia="宋体"/>
          <w:b w:val="0"/>
          <w:i w:val="0"/>
          <w:color w:val="000000"/>
          <w:sz w:val="21"/>
        </w:rPr>
        <w:t>沟通可以予以策划并评价其有效性，同时考虑影响预期结果的风险和机遇。</w:t>
      </w:r>
    </w:p>
    <w:p w14:paraId="0EB5BA75">
      <w:pPr>
        <w:keepNext/>
        <w:spacing w:before="60" w:after="0"/>
        <w:jc w:val="both"/>
      </w:pPr>
      <w:r>
        <w:rPr>
          <w:rFonts w:ascii="Times New Roman" w:hAnsi="Times New Roman" w:eastAsia="宋体"/>
          <w:b w:val="0"/>
          <w:i w:val="0"/>
          <w:color w:val="000000"/>
          <w:sz w:val="21"/>
        </w:rPr>
        <w:t>Communication can occur between people or through automated interactions between devices.</w:t>
      </w:r>
    </w:p>
    <w:p w14:paraId="1A938905">
      <w:pPr>
        <w:spacing w:before="0" w:after="100"/>
        <w:jc w:val="both"/>
      </w:pPr>
      <w:r>
        <w:rPr>
          <w:rFonts w:ascii="Times New Roman" w:hAnsi="Times New Roman" w:eastAsia="宋体"/>
          <w:b w:val="0"/>
          <w:i w:val="0"/>
          <w:color w:val="000000"/>
          <w:sz w:val="21"/>
        </w:rPr>
        <w:t>沟通可在人员之间进行，也可通过设备之间的自动交互进行。</w:t>
      </w:r>
    </w:p>
    <w:p w14:paraId="2B7DA490">
      <w:pPr>
        <w:keepNext/>
        <w:spacing w:before="160" w:after="0"/>
        <w:jc w:val="left"/>
      </w:pPr>
      <w:r>
        <w:rPr>
          <w:rFonts w:ascii="Times New Roman" w:hAnsi="Times New Roman" w:eastAsia="宋体"/>
          <w:b/>
          <w:i w:val="0"/>
          <w:color w:val="000000"/>
          <w:sz w:val="21"/>
        </w:rPr>
        <w:t>A.7.5  Documented information</w:t>
      </w:r>
    </w:p>
    <w:p w14:paraId="7F263EB8">
      <w:pPr>
        <w:spacing w:before="0" w:after="80"/>
        <w:jc w:val="left"/>
      </w:pPr>
      <w:r>
        <w:rPr>
          <w:rFonts w:ascii="Times New Roman" w:hAnsi="Times New Roman" w:eastAsia="黑体"/>
          <w:b w:val="0"/>
          <w:i w:val="0"/>
          <w:color w:val="000000"/>
          <w:sz w:val="21"/>
        </w:rPr>
        <w:t>A.7.5  成文信息</w:t>
      </w:r>
    </w:p>
    <w:p w14:paraId="76E2BAC2">
      <w:pPr>
        <w:keepNext/>
        <w:spacing w:before="60" w:after="0"/>
        <w:jc w:val="both"/>
      </w:pPr>
      <w:r>
        <w:rPr>
          <w:rFonts w:ascii="Times New Roman" w:hAnsi="Times New Roman" w:eastAsia="宋体"/>
          <w:b w:val="0"/>
          <w:i w:val="0"/>
          <w:color w:val="000000"/>
          <w:sz w:val="21"/>
        </w:rPr>
        <w:t>The requirement for documented information applies to information required by this document, as well as information determined by the organization as necessary for the effectiveness of the quality management system.</w:t>
      </w:r>
    </w:p>
    <w:p w14:paraId="238218AB">
      <w:pPr>
        <w:spacing w:before="0" w:after="100"/>
        <w:jc w:val="both"/>
      </w:pPr>
      <w:r>
        <w:rPr>
          <w:rFonts w:ascii="Times New Roman" w:hAnsi="Times New Roman" w:eastAsia="宋体"/>
          <w:b w:val="0"/>
          <w:i w:val="0"/>
          <w:color w:val="000000"/>
          <w:sz w:val="21"/>
        </w:rPr>
        <w:t>对成文信息的要求适用于本文件所要求的信息，以及组织确定的、为质量管理体系有效性所必需的信息。</w:t>
      </w:r>
    </w:p>
    <w:p w14:paraId="2BBE80B1">
      <w:pPr>
        <w:keepNext/>
        <w:spacing w:before="60" w:after="0"/>
        <w:jc w:val="both"/>
      </w:pPr>
      <w:r>
        <w:rPr>
          <w:rFonts w:ascii="Times New Roman" w:hAnsi="Times New Roman" w:eastAsia="宋体"/>
          <w:b w:val="0"/>
          <w:i w:val="0"/>
          <w:color w:val="000000"/>
          <w:sz w:val="21"/>
        </w:rPr>
        <w:t>Documented information can exist in any medium or format and can originate from internal or external sources.</w:t>
      </w:r>
    </w:p>
    <w:p w14:paraId="420C5BB8">
      <w:pPr>
        <w:spacing w:before="0" w:after="100"/>
        <w:jc w:val="both"/>
      </w:pPr>
      <w:r>
        <w:rPr>
          <w:rFonts w:ascii="Times New Roman" w:hAnsi="Times New Roman" w:eastAsia="宋体"/>
          <w:b w:val="0"/>
          <w:i w:val="0"/>
          <w:color w:val="000000"/>
          <w:sz w:val="21"/>
        </w:rPr>
        <w:t>成文信息可以任何介质或格式存在，并可源自内部或外部。</w:t>
      </w:r>
    </w:p>
    <w:p w14:paraId="30F9F829">
      <w:pPr>
        <w:keepNext/>
        <w:spacing w:before="60" w:after="0"/>
        <w:jc w:val="both"/>
      </w:pPr>
      <w:r>
        <w:rPr>
          <w:rFonts w:ascii="Times New Roman" w:hAnsi="Times New Roman" w:eastAsia="宋体"/>
          <w:b w:val="0"/>
          <w:i w:val="0"/>
          <w:color w:val="000000"/>
          <w:sz w:val="21"/>
        </w:rPr>
        <w:t>Documented information can serve as evidence that processes operate as intended and that requirements have been fulfilled.</w:t>
      </w:r>
    </w:p>
    <w:p w14:paraId="0C1A01E4">
      <w:pPr>
        <w:spacing w:before="0" w:after="100"/>
        <w:jc w:val="both"/>
      </w:pPr>
      <w:r>
        <w:rPr>
          <w:rFonts w:ascii="Times New Roman" w:hAnsi="Times New Roman" w:eastAsia="宋体"/>
          <w:b w:val="0"/>
          <w:i w:val="0"/>
          <w:color w:val="000000"/>
          <w:sz w:val="21"/>
        </w:rPr>
        <w:t>成文信息可作为过程按预期运行以及要求已得到满足的证据。</w:t>
      </w:r>
    </w:p>
    <w:p w14:paraId="533B0E13">
      <w:pPr>
        <w:keepNext/>
        <w:spacing w:before="60" w:after="0"/>
        <w:jc w:val="both"/>
      </w:pPr>
      <w:r>
        <w:rPr>
          <w:rFonts w:ascii="Times New Roman" w:hAnsi="Times New Roman" w:eastAsia="宋体"/>
          <w:b w:val="0"/>
          <w:i w:val="0"/>
          <w:color w:val="000000"/>
          <w:sz w:val="21"/>
        </w:rPr>
        <w:t>The management of documented information can include various controls to ensure it remains available, usable and suitably protected.</w:t>
      </w:r>
    </w:p>
    <w:p w14:paraId="382E831D">
      <w:pPr>
        <w:spacing w:before="0" w:after="100"/>
        <w:jc w:val="both"/>
      </w:pPr>
      <w:r>
        <w:rPr>
          <w:rFonts w:ascii="Times New Roman" w:hAnsi="Times New Roman" w:eastAsia="宋体"/>
          <w:b w:val="0"/>
          <w:i w:val="0"/>
          <w:color w:val="000000"/>
          <w:sz w:val="21"/>
        </w:rPr>
        <w:t>成文信息的管理可包括多种控制，以确保其保持可获得、可用并得到适当保护。</w:t>
      </w:r>
    </w:p>
    <w:p w14:paraId="1ECE3105">
      <w:pPr>
        <w:keepNext/>
        <w:spacing w:before="60" w:after="0"/>
        <w:jc w:val="both"/>
      </w:pPr>
      <w:r>
        <w:rPr>
          <w:rFonts w:ascii="Times New Roman" w:hAnsi="Times New Roman" w:eastAsia="宋体"/>
          <w:b w:val="0"/>
          <w:i w:val="0"/>
          <w:color w:val="000000"/>
          <w:sz w:val="21"/>
        </w:rPr>
        <w:t>Documented information of external origin is included when it is relevant to the planning and operation of the quality management system.</w:t>
      </w:r>
    </w:p>
    <w:p w14:paraId="2718A598">
      <w:pPr>
        <w:spacing w:before="0" w:after="100"/>
        <w:jc w:val="both"/>
      </w:pPr>
      <w:r>
        <w:rPr>
          <w:rFonts w:ascii="Times New Roman" w:hAnsi="Times New Roman" w:eastAsia="宋体"/>
          <w:b w:val="0"/>
          <w:i w:val="0"/>
          <w:color w:val="000000"/>
          <w:sz w:val="21"/>
        </w:rPr>
        <w:t>当来自外部的成文信息与质量管理体系的策划和运行相关时，应将其纳入控制。</w:t>
      </w:r>
    </w:p>
    <w:p w14:paraId="0E4450D6">
      <w:pPr>
        <w:keepNext/>
        <w:spacing w:before="60" w:after="0"/>
        <w:jc w:val="both"/>
      </w:pPr>
      <w:r>
        <w:rPr>
          <w:rFonts w:ascii="Times New Roman" w:hAnsi="Times New Roman" w:eastAsia="宋体"/>
          <w:b w:val="0"/>
          <w:i w:val="0"/>
          <w:color w:val="000000"/>
          <w:sz w:val="21"/>
        </w:rPr>
        <w:t>Obsolete documented information, if retained, is subject to controls to prevent unintended use.</w:t>
      </w:r>
    </w:p>
    <w:p w14:paraId="6563301A">
      <w:pPr>
        <w:spacing w:before="0" w:after="100"/>
        <w:jc w:val="both"/>
      </w:pPr>
      <w:r>
        <w:rPr>
          <w:rFonts w:ascii="Times New Roman" w:hAnsi="Times New Roman" w:eastAsia="宋体"/>
          <w:b w:val="0"/>
          <w:i w:val="0"/>
          <w:color w:val="000000"/>
          <w:sz w:val="21"/>
        </w:rPr>
        <w:t>若保留作废的成文信息，应对其实施控制，以防止非预期使用。</w:t>
      </w:r>
    </w:p>
    <w:p w14:paraId="19D8FADF">
      <w:pPr>
        <w:keepNext/>
        <w:spacing w:before="60" w:after="0"/>
        <w:jc w:val="both"/>
      </w:pPr>
      <w:r>
        <w:rPr>
          <w:rFonts w:ascii="Times New Roman" w:hAnsi="Times New Roman" w:eastAsia="宋体"/>
          <w:b w:val="0"/>
          <w:i w:val="0"/>
          <w:color w:val="000000"/>
          <w:sz w:val="21"/>
        </w:rPr>
        <w:t>Documented information that serves as evidence of conformity is protected from unintended or unauthorized alteration or deletion.</w:t>
      </w:r>
    </w:p>
    <w:p w14:paraId="0644D6BF">
      <w:pPr>
        <w:spacing w:before="0" w:after="100"/>
        <w:jc w:val="both"/>
      </w:pPr>
      <w:r>
        <w:rPr>
          <w:rFonts w:ascii="Times New Roman" w:hAnsi="Times New Roman" w:eastAsia="宋体"/>
          <w:b w:val="0"/>
          <w:i w:val="0"/>
          <w:color w:val="000000"/>
          <w:sz w:val="21"/>
        </w:rPr>
        <w:t>作为符合性证据的成文信息应受到保护，防止非预期或未经授权的更改或删除。</w:t>
      </w:r>
    </w:p>
    <w:p w14:paraId="318F75AB">
      <w:pPr>
        <w:keepNext/>
        <w:spacing w:before="20" w:after="0"/>
        <w:ind w:left="227"/>
        <w:jc w:val="both"/>
      </w:pPr>
      <w:r>
        <w:rPr>
          <w:rFonts w:ascii="Times New Roman" w:hAnsi="Times New Roman" w:eastAsia="宋体"/>
          <w:b w:val="0"/>
          <w:i/>
          <w:color w:val="000000"/>
          <w:sz w:val="20"/>
        </w:rPr>
        <w:t>NOTE 1 — See Clause A.2 e) for terminology relevant to the term “documented information”.</w:t>
      </w:r>
    </w:p>
    <w:p w14:paraId="7CFB5419">
      <w:pPr>
        <w:spacing w:before="0" w:after="100"/>
        <w:ind w:left="227"/>
        <w:jc w:val="both"/>
      </w:pPr>
      <w:r>
        <w:rPr>
          <w:rFonts w:ascii="Times New Roman" w:hAnsi="Times New Roman" w:eastAsia="宋体"/>
          <w:b w:val="0"/>
          <w:i w:val="0"/>
          <w:color w:val="000000"/>
          <w:sz w:val="20"/>
        </w:rPr>
        <w:t>注1：与“成文信息”一词相关的术语见A.2 e)。</w:t>
      </w:r>
    </w:p>
    <w:p w14:paraId="7DE13AD8">
      <w:pPr>
        <w:keepNext/>
        <w:spacing w:before="20" w:after="0"/>
        <w:ind w:left="227"/>
        <w:jc w:val="both"/>
      </w:pPr>
      <w:r>
        <w:rPr>
          <w:rFonts w:ascii="Times New Roman" w:hAnsi="Times New Roman" w:eastAsia="宋体"/>
          <w:b w:val="0"/>
          <w:i/>
          <w:color w:val="000000"/>
          <w:sz w:val="20"/>
        </w:rPr>
        <w:t>NOTE 2 — See ISO 10013 for guidance on documented information.</w:t>
      </w:r>
    </w:p>
    <w:p w14:paraId="657EF5FD">
      <w:pPr>
        <w:spacing w:before="0" w:after="100"/>
        <w:ind w:left="227"/>
        <w:jc w:val="both"/>
      </w:pPr>
      <w:r>
        <w:rPr>
          <w:rFonts w:ascii="Times New Roman" w:hAnsi="Times New Roman" w:eastAsia="宋体"/>
          <w:b w:val="0"/>
          <w:i w:val="0"/>
          <w:color w:val="000000"/>
          <w:sz w:val="20"/>
        </w:rPr>
        <w:t>注2：成文信息指南见ISO 10013。</w:t>
      </w:r>
    </w:p>
    <w:p w14:paraId="096F09A0">
      <w:pPr>
        <w:keepNext/>
        <w:spacing w:before="200" w:after="0"/>
        <w:jc w:val="left"/>
      </w:pPr>
      <w:r>
        <w:rPr>
          <w:rFonts w:ascii="Times New Roman" w:hAnsi="Times New Roman" w:eastAsia="宋体"/>
          <w:b/>
          <w:i w:val="0"/>
          <w:color w:val="000000"/>
          <w:sz w:val="22"/>
        </w:rPr>
        <w:t>A.8  Operation</w:t>
      </w:r>
    </w:p>
    <w:p w14:paraId="4EE159C1">
      <w:pPr>
        <w:spacing w:before="0" w:after="80"/>
        <w:jc w:val="left"/>
      </w:pPr>
      <w:r>
        <w:rPr>
          <w:rFonts w:ascii="Times New Roman" w:hAnsi="Times New Roman" w:eastAsia="黑体"/>
          <w:b w:val="0"/>
          <w:i w:val="0"/>
          <w:color w:val="000000"/>
          <w:sz w:val="22"/>
        </w:rPr>
        <w:t>A.8  运行</w:t>
      </w:r>
    </w:p>
    <w:p w14:paraId="7953E301">
      <w:pPr>
        <w:keepNext/>
        <w:spacing w:before="160" w:after="0"/>
        <w:jc w:val="left"/>
      </w:pPr>
      <w:r>
        <w:rPr>
          <w:rFonts w:ascii="Times New Roman" w:hAnsi="Times New Roman" w:eastAsia="宋体"/>
          <w:b/>
          <w:i w:val="0"/>
          <w:color w:val="000000"/>
          <w:sz w:val="21"/>
        </w:rPr>
        <w:t>A.8.1  Operational planning and control</w:t>
      </w:r>
    </w:p>
    <w:p w14:paraId="4E065823">
      <w:pPr>
        <w:spacing w:before="0" w:after="80"/>
        <w:jc w:val="left"/>
      </w:pPr>
      <w:r>
        <w:rPr>
          <w:rFonts w:ascii="Times New Roman" w:hAnsi="Times New Roman" w:eastAsia="黑体"/>
          <w:b w:val="0"/>
          <w:i w:val="0"/>
          <w:color w:val="000000"/>
          <w:sz w:val="21"/>
        </w:rPr>
        <w:t>A.8.1  运行策划和控制</w:t>
      </w:r>
    </w:p>
    <w:p w14:paraId="0BC74415">
      <w:pPr>
        <w:keepNext/>
        <w:spacing w:before="60" w:after="0"/>
        <w:jc w:val="both"/>
      </w:pPr>
      <w:r>
        <w:rPr>
          <w:rFonts w:ascii="Times New Roman" w:hAnsi="Times New Roman" w:eastAsia="宋体"/>
          <w:b w:val="0"/>
          <w:i w:val="0"/>
          <w:color w:val="000000"/>
          <w:sz w:val="21"/>
        </w:rPr>
        <w:t>Operational planning and controls interact with planning (see Clause 6) and support (see Clause 7) to ensure processes achieve intended results.</w:t>
      </w:r>
    </w:p>
    <w:p w14:paraId="1A5959CE">
      <w:pPr>
        <w:spacing w:before="0" w:after="100"/>
        <w:jc w:val="both"/>
      </w:pPr>
      <w:r>
        <w:rPr>
          <w:rFonts w:ascii="Times New Roman" w:hAnsi="Times New Roman" w:eastAsia="宋体"/>
          <w:b w:val="0"/>
          <w:i w:val="0"/>
          <w:color w:val="000000"/>
          <w:sz w:val="21"/>
        </w:rPr>
        <w:t>运行策划和控制与策划（见第6章）和支持（见第7章）相互作用，以确保过程实现预期结果。</w:t>
      </w:r>
    </w:p>
    <w:p w14:paraId="7A4C9418">
      <w:pPr>
        <w:keepNext/>
        <w:spacing w:before="60" w:after="0"/>
        <w:jc w:val="both"/>
      </w:pPr>
      <w:r>
        <w:rPr>
          <w:rFonts w:ascii="Times New Roman" w:hAnsi="Times New Roman" w:eastAsia="宋体"/>
          <w:b w:val="0"/>
          <w:i w:val="0"/>
          <w:color w:val="000000"/>
          <w:sz w:val="21"/>
        </w:rPr>
        <w:t>Controlled conditions for operational activities can be established by applying risk-based thinking and opportunity-based thinking to identify and address factors that can influence the organization's ability to achieve intended results. Criteria in this context can refer to objective, measurable conditions used to confirm process effectiveness and conformity of products and services. Resources can include people, infrastructure and information required for process operation. Control of externally provided processes means the organization remains accountable for outputs, even when activities are outsourced. Documented information can be appropriate as evidence of conformity and demonstrate that processes operate as intended and that requirements have been fulfilled.</w:t>
      </w:r>
    </w:p>
    <w:p w14:paraId="51D5617F">
      <w:pPr>
        <w:spacing w:before="0" w:after="100"/>
        <w:jc w:val="both"/>
      </w:pPr>
      <w:r>
        <w:rPr>
          <w:rFonts w:ascii="Times New Roman" w:hAnsi="Times New Roman" w:eastAsia="宋体"/>
          <w:b w:val="0"/>
          <w:i w:val="0"/>
          <w:color w:val="000000"/>
          <w:sz w:val="21"/>
        </w:rPr>
        <w:t>可通过应用基于风险的思维和基于机遇的思维，识别并应对可能影响组织实现预期结果能力的因素，从而为运行活动建立受控条件。此处的准则可指用于证实过程有效性以及产品和服务合格性的客观、可测量的条件。资源可包括过程运行所需的人员、基础设施和信息。对外部提供过程的控制意味着即使在活动外包的情况下，组织仍对输出承担责任。成文信息可用作符合性的证据，并证明过程按预期运行且要求已得到满足。</w:t>
      </w:r>
    </w:p>
    <w:p w14:paraId="694C1421">
      <w:pPr>
        <w:keepNext/>
        <w:spacing w:before="20" w:after="0"/>
        <w:ind w:left="227"/>
        <w:jc w:val="both"/>
      </w:pPr>
      <w:r>
        <w:rPr>
          <w:rFonts w:ascii="Times New Roman" w:hAnsi="Times New Roman" w:eastAsia="宋体"/>
          <w:b w:val="0"/>
          <w:i/>
          <w:color w:val="000000"/>
          <w:sz w:val="20"/>
        </w:rPr>
        <w:t>NOTE 1 — See ISO 10005 for guidance on how to prepare a quality plan.</w:t>
      </w:r>
    </w:p>
    <w:p w14:paraId="7420B5DC">
      <w:pPr>
        <w:spacing w:before="0" w:after="100"/>
        <w:ind w:left="227"/>
        <w:jc w:val="both"/>
      </w:pPr>
      <w:r>
        <w:rPr>
          <w:rFonts w:ascii="Times New Roman" w:hAnsi="Times New Roman" w:eastAsia="宋体"/>
          <w:b w:val="0"/>
          <w:i w:val="0"/>
          <w:color w:val="000000"/>
          <w:sz w:val="20"/>
        </w:rPr>
        <w:t>注1：质量计划编制指南见ISO 10005。</w:t>
      </w:r>
    </w:p>
    <w:p w14:paraId="3280DC52">
      <w:pPr>
        <w:keepNext/>
        <w:spacing w:before="20" w:after="0"/>
        <w:ind w:left="227"/>
        <w:jc w:val="both"/>
      </w:pPr>
      <w:r>
        <w:rPr>
          <w:rFonts w:ascii="Times New Roman" w:hAnsi="Times New Roman" w:eastAsia="宋体"/>
          <w:b w:val="0"/>
          <w:i/>
          <w:color w:val="000000"/>
          <w:sz w:val="20"/>
        </w:rPr>
        <w:t>NOTE 2 — See ISO 10007 for guidance on configuration management.</w:t>
      </w:r>
    </w:p>
    <w:p w14:paraId="67E49C98">
      <w:pPr>
        <w:spacing w:before="0" w:after="100"/>
        <w:ind w:left="227"/>
        <w:jc w:val="both"/>
      </w:pPr>
      <w:r>
        <w:rPr>
          <w:rFonts w:ascii="Times New Roman" w:hAnsi="Times New Roman" w:eastAsia="宋体"/>
          <w:b w:val="0"/>
          <w:i w:val="0"/>
          <w:color w:val="000000"/>
          <w:sz w:val="20"/>
        </w:rPr>
        <w:t>注2：配置管理指南见ISO 10007。</w:t>
      </w:r>
    </w:p>
    <w:p w14:paraId="76BE3C3C">
      <w:pPr>
        <w:keepNext/>
        <w:spacing w:before="160" w:after="0"/>
        <w:jc w:val="left"/>
      </w:pPr>
      <w:r>
        <w:rPr>
          <w:rFonts w:ascii="Times New Roman" w:hAnsi="Times New Roman" w:eastAsia="宋体"/>
          <w:b/>
          <w:i w:val="0"/>
          <w:color w:val="000000"/>
          <w:sz w:val="21"/>
        </w:rPr>
        <w:t>A.8.2  Requirements for products and services</w:t>
      </w:r>
    </w:p>
    <w:p w14:paraId="10AF39BE">
      <w:pPr>
        <w:spacing w:before="0" w:after="80"/>
        <w:jc w:val="left"/>
      </w:pPr>
      <w:r>
        <w:rPr>
          <w:rFonts w:ascii="Times New Roman" w:hAnsi="Times New Roman" w:eastAsia="黑体"/>
          <w:b w:val="0"/>
          <w:i w:val="0"/>
          <w:color w:val="000000"/>
          <w:sz w:val="21"/>
        </w:rPr>
        <w:t>A.8.2  产品和服务的要求</w:t>
      </w:r>
    </w:p>
    <w:p w14:paraId="65A8E510">
      <w:pPr>
        <w:keepNext/>
        <w:spacing w:before="60" w:after="0"/>
        <w:jc w:val="both"/>
      </w:pPr>
      <w:r>
        <w:rPr>
          <w:rFonts w:ascii="Times New Roman" w:hAnsi="Times New Roman" w:eastAsia="宋体"/>
          <w:b w:val="0"/>
          <w:i w:val="0"/>
          <w:color w:val="000000"/>
          <w:sz w:val="21"/>
        </w:rPr>
        <w:t>Requirements can originate from customers, statutory and regulatory bodies, or other relevant interested parties.</w:t>
      </w:r>
    </w:p>
    <w:p w14:paraId="3FDCB900">
      <w:pPr>
        <w:spacing w:before="0" w:after="100"/>
        <w:jc w:val="both"/>
      </w:pPr>
      <w:r>
        <w:rPr>
          <w:rFonts w:ascii="Times New Roman" w:hAnsi="Times New Roman" w:eastAsia="宋体"/>
          <w:b w:val="0"/>
          <w:i w:val="0"/>
          <w:color w:val="000000"/>
          <w:sz w:val="21"/>
        </w:rPr>
        <w:t>要求可能源自顾客、法律法规机构或其他相关方。</w:t>
      </w:r>
    </w:p>
    <w:p w14:paraId="70A54E6A">
      <w:pPr>
        <w:keepNext/>
        <w:spacing w:before="60" w:after="0"/>
        <w:jc w:val="both"/>
      </w:pPr>
      <w:r>
        <w:rPr>
          <w:rFonts w:ascii="Times New Roman" w:hAnsi="Times New Roman" w:eastAsia="宋体"/>
          <w:b w:val="0"/>
          <w:i w:val="0"/>
          <w:color w:val="000000"/>
          <w:sz w:val="21"/>
        </w:rPr>
        <w:t>Requirements for products and services can include those that are mandatory and those defined by the organization.</w:t>
      </w:r>
    </w:p>
    <w:p w14:paraId="344D87A0">
      <w:pPr>
        <w:spacing w:before="0" w:after="100"/>
        <w:jc w:val="both"/>
      </w:pPr>
      <w:r>
        <w:rPr>
          <w:rFonts w:ascii="Times New Roman" w:hAnsi="Times New Roman" w:eastAsia="宋体"/>
          <w:b w:val="0"/>
          <w:i w:val="0"/>
          <w:color w:val="000000"/>
          <w:sz w:val="21"/>
        </w:rPr>
        <w:t>产品和服务的要求可包括强制性要求以及组织自行确定的要求。</w:t>
      </w:r>
    </w:p>
    <w:p w14:paraId="7D202662">
      <w:pPr>
        <w:keepNext/>
        <w:spacing w:before="60" w:after="0"/>
        <w:jc w:val="both"/>
      </w:pPr>
      <w:r>
        <w:rPr>
          <w:rFonts w:ascii="Times New Roman" w:hAnsi="Times New Roman" w:eastAsia="宋体"/>
          <w:b w:val="0"/>
          <w:i w:val="0"/>
          <w:color w:val="000000"/>
          <w:sz w:val="21"/>
        </w:rPr>
        <w:t>Communication with the customer within 8.2.1 refers to the exchange of information needed to determine requirements for products and services and their associated needs and expectations.</w:t>
      </w:r>
    </w:p>
    <w:p w14:paraId="4FCD6006">
      <w:pPr>
        <w:spacing w:before="0" w:after="100"/>
        <w:jc w:val="both"/>
      </w:pPr>
      <w:r>
        <w:rPr>
          <w:rFonts w:ascii="Times New Roman" w:hAnsi="Times New Roman" w:eastAsia="宋体"/>
          <w:b w:val="0"/>
          <w:i w:val="0"/>
          <w:color w:val="000000"/>
          <w:sz w:val="21"/>
        </w:rPr>
        <w:t>8.2.1中的与顾客沟通，是指为确定产品和服务的要求及其相关的需求和期望所需的信息交流。</w:t>
      </w:r>
    </w:p>
    <w:p w14:paraId="4B5F031D">
      <w:pPr>
        <w:keepNext/>
        <w:spacing w:before="60" w:after="0"/>
        <w:jc w:val="both"/>
      </w:pPr>
      <w:r>
        <w:rPr>
          <w:rFonts w:ascii="Times New Roman" w:hAnsi="Times New Roman" w:eastAsia="宋体"/>
          <w:b w:val="0"/>
          <w:i w:val="0"/>
          <w:color w:val="000000"/>
          <w:sz w:val="21"/>
        </w:rPr>
        <w:t>Customer communication can include information about the organization's ability to fulfil agreed requirements, information related to contingency actions when relevant, and any claims made regarding product or service performance or characteristics.</w:t>
      </w:r>
    </w:p>
    <w:p w14:paraId="63C6E08B">
      <w:pPr>
        <w:spacing w:before="0" w:after="100"/>
        <w:jc w:val="both"/>
      </w:pPr>
      <w:r>
        <w:rPr>
          <w:rFonts w:ascii="Times New Roman" w:hAnsi="Times New Roman" w:eastAsia="宋体"/>
          <w:b w:val="0"/>
          <w:i w:val="0"/>
          <w:color w:val="000000"/>
          <w:sz w:val="21"/>
        </w:rPr>
        <w:t>与顾客的沟通可包括关于组织满足约定要求能力的信息、相关时与应急措施有关的信息，以及有关产品或服务性能或特性的任何声明。</w:t>
      </w:r>
    </w:p>
    <w:p w14:paraId="10881544">
      <w:pPr>
        <w:keepNext/>
        <w:spacing w:before="20" w:after="0"/>
        <w:ind w:left="227"/>
        <w:jc w:val="both"/>
      </w:pPr>
      <w:r>
        <w:rPr>
          <w:rFonts w:ascii="Times New Roman" w:hAnsi="Times New Roman" w:eastAsia="宋体"/>
          <w:b w:val="0"/>
          <w:i/>
          <w:color w:val="000000"/>
          <w:sz w:val="20"/>
        </w:rPr>
        <w:t>NOTE 1 — See ISO 10001 for guidance on codes of conduct for organizations relevant to customer communication (see 8.2.1).</w:t>
      </w:r>
    </w:p>
    <w:p w14:paraId="63A1F4B7">
      <w:pPr>
        <w:spacing w:before="0" w:after="100"/>
        <w:ind w:left="227"/>
        <w:jc w:val="both"/>
      </w:pPr>
      <w:r>
        <w:rPr>
          <w:rFonts w:ascii="Times New Roman" w:hAnsi="Times New Roman" w:eastAsia="宋体"/>
          <w:b w:val="0"/>
          <w:i w:val="0"/>
          <w:color w:val="000000"/>
          <w:sz w:val="20"/>
        </w:rPr>
        <w:t>注1：与顾客沟通（见8.2.1）相关的组织行为准则指南见ISO 10001。</w:t>
      </w:r>
    </w:p>
    <w:p w14:paraId="76D40CB0">
      <w:pPr>
        <w:keepNext/>
        <w:spacing w:before="20" w:after="0"/>
        <w:ind w:left="227"/>
        <w:jc w:val="both"/>
      </w:pPr>
      <w:r>
        <w:rPr>
          <w:rFonts w:ascii="Times New Roman" w:hAnsi="Times New Roman" w:eastAsia="宋体"/>
          <w:b w:val="0"/>
          <w:i/>
          <w:color w:val="000000"/>
          <w:sz w:val="20"/>
        </w:rPr>
        <w:t>NOTE 2 — See ISO 10002 for guidance on complaints handling.</w:t>
      </w:r>
    </w:p>
    <w:p w14:paraId="5AC72595">
      <w:pPr>
        <w:spacing w:before="0" w:after="100"/>
        <w:ind w:left="227"/>
        <w:jc w:val="both"/>
      </w:pPr>
      <w:r>
        <w:rPr>
          <w:rFonts w:ascii="Times New Roman" w:hAnsi="Times New Roman" w:eastAsia="宋体"/>
          <w:b w:val="0"/>
          <w:i w:val="0"/>
          <w:color w:val="000000"/>
          <w:sz w:val="20"/>
        </w:rPr>
        <w:t>注2：投诉处理指南见ISO 10002。</w:t>
      </w:r>
    </w:p>
    <w:p w14:paraId="086528B8">
      <w:pPr>
        <w:keepNext/>
        <w:spacing w:before="160" w:after="0"/>
        <w:jc w:val="left"/>
      </w:pPr>
      <w:r>
        <w:rPr>
          <w:rFonts w:ascii="Times New Roman" w:hAnsi="Times New Roman" w:eastAsia="宋体"/>
          <w:b/>
          <w:i w:val="0"/>
          <w:color w:val="000000"/>
          <w:sz w:val="21"/>
        </w:rPr>
        <w:t>A.8.3  Design and development of products and services</w:t>
      </w:r>
    </w:p>
    <w:p w14:paraId="7379CB1C">
      <w:pPr>
        <w:spacing w:before="0" w:after="80"/>
        <w:jc w:val="left"/>
      </w:pPr>
      <w:r>
        <w:rPr>
          <w:rFonts w:ascii="Times New Roman" w:hAnsi="Times New Roman" w:eastAsia="黑体"/>
          <w:b w:val="0"/>
          <w:i w:val="0"/>
          <w:color w:val="000000"/>
          <w:sz w:val="21"/>
        </w:rPr>
        <w:t>A.8.3  产品和服务的设计和开发</w:t>
      </w:r>
    </w:p>
    <w:p w14:paraId="1F7F3561">
      <w:pPr>
        <w:keepNext/>
        <w:spacing w:before="60" w:after="0"/>
        <w:jc w:val="both"/>
      </w:pPr>
      <w:r>
        <w:rPr>
          <w:rFonts w:ascii="Times New Roman" w:hAnsi="Times New Roman" w:eastAsia="宋体"/>
          <w:b w:val="0"/>
          <w:i w:val="0"/>
          <w:color w:val="000000"/>
          <w:sz w:val="21"/>
        </w:rPr>
        <w:t>Design and development of products and services are the set of activities that transform initial requirements for products and services into detailed, defined characteristics.</w:t>
      </w:r>
    </w:p>
    <w:p w14:paraId="3BF2AA84">
      <w:pPr>
        <w:spacing w:before="0" w:after="100"/>
        <w:jc w:val="both"/>
      </w:pPr>
      <w:r>
        <w:rPr>
          <w:rFonts w:ascii="Times New Roman" w:hAnsi="Times New Roman" w:eastAsia="宋体"/>
          <w:b w:val="0"/>
          <w:i w:val="0"/>
          <w:color w:val="000000"/>
          <w:sz w:val="21"/>
        </w:rPr>
        <w:t>产品和服务的设计和开发是一组将产品和服务的初始要求转化为详细的、规定特性的活动。</w:t>
      </w:r>
    </w:p>
    <w:p w14:paraId="36D751E9">
      <w:pPr>
        <w:keepNext/>
        <w:spacing w:before="60" w:after="0"/>
        <w:jc w:val="both"/>
      </w:pPr>
      <w:r>
        <w:rPr>
          <w:rFonts w:ascii="Times New Roman" w:hAnsi="Times New Roman" w:eastAsia="宋体"/>
          <w:b w:val="0"/>
          <w:i w:val="0"/>
          <w:color w:val="000000"/>
          <w:sz w:val="21"/>
        </w:rPr>
        <w:t>These characteristics can include physical, functional or other attributes relevant to meeting customer needs and expectations.</w:t>
      </w:r>
    </w:p>
    <w:p w14:paraId="259044F1">
      <w:pPr>
        <w:spacing w:before="0" w:after="100"/>
        <w:jc w:val="both"/>
      </w:pPr>
      <w:r>
        <w:rPr>
          <w:rFonts w:ascii="Times New Roman" w:hAnsi="Times New Roman" w:eastAsia="宋体"/>
          <w:b w:val="0"/>
          <w:i w:val="0"/>
          <w:color w:val="000000"/>
          <w:sz w:val="21"/>
        </w:rPr>
        <w:t>这些特性可包括与满足顾客需求和期望相关的物理的、功能的或其他属性。</w:t>
      </w:r>
    </w:p>
    <w:p w14:paraId="4C627872">
      <w:pPr>
        <w:keepNext/>
        <w:spacing w:before="60" w:after="0"/>
        <w:jc w:val="both"/>
      </w:pPr>
      <w:r>
        <w:rPr>
          <w:rFonts w:ascii="Times New Roman" w:hAnsi="Times New Roman" w:eastAsia="宋体"/>
          <w:b w:val="0"/>
          <w:i w:val="0"/>
          <w:color w:val="000000"/>
          <w:sz w:val="21"/>
        </w:rPr>
        <w:t>The approach to design and development can differ depending on whether the outputs are services, physical products or a combination of both.</w:t>
      </w:r>
    </w:p>
    <w:p w14:paraId="5F5B63F2">
      <w:pPr>
        <w:spacing w:before="0" w:after="100"/>
        <w:jc w:val="both"/>
      </w:pPr>
      <w:r>
        <w:rPr>
          <w:rFonts w:ascii="Times New Roman" w:hAnsi="Times New Roman" w:eastAsia="宋体"/>
          <w:b w:val="0"/>
          <w:i w:val="0"/>
          <w:color w:val="000000"/>
          <w:sz w:val="21"/>
        </w:rPr>
        <w:t>设计和开发的方法可因输出是服务、实物产品还是两者的组合而有所不同。</w:t>
      </w:r>
    </w:p>
    <w:p w14:paraId="2FE25D0A">
      <w:pPr>
        <w:keepNext/>
        <w:spacing w:before="60" w:after="0"/>
        <w:jc w:val="both"/>
      </w:pPr>
      <w:r>
        <w:rPr>
          <w:rFonts w:ascii="Times New Roman" w:hAnsi="Times New Roman" w:eastAsia="宋体"/>
          <w:b w:val="0"/>
          <w:i w:val="0"/>
          <w:color w:val="000000"/>
          <w:sz w:val="21"/>
        </w:rPr>
        <w:t>Controls applied to the design and development process can include review, verification and validation. These controls have distinct purposes in confirming the ability of design and development outputs to meet requirements, the conformity of design and development outputs with input requirements, and the suitability of resulting products and services for their intended use or application.</w:t>
      </w:r>
    </w:p>
    <w:p w14:paraId="1DB54C3C">
      <w:pPr>
        <w:spacing w:before="0" w:after="100"/>
        <w:jc w:val="both"/>
      </w:pPr>
      <w:r>
        <w:rPr>
          <w:rFonts w:ascii="Times New Roman" w:hAnsi="Times New Roman" w:eastAsia="宋体"/>
          <w:b w:val="0"/>
          <w:i w:val="0"/>
          <w:color w:val="000000"/>
          <w:sz w:val="21"/>
        </w:rPr>
        <w:t>应用于设计和开发过程的控制可包括评审、验证和确认。这些控制在证实以下方面具有各自不同的目的：设计和开发输出满足要求的能力；设计和开发输出与输入要求的符合性；以及由此形成的产品和服务对其预期用途或应用的适宜性。</w:t>
      </w:r>
    </w:p>
    <w:p w14:paraId="7BF47BDF">
      <w:pPr>
        <w:keepNext/>
        <w:spacing w:before="20" w:after="0"/>
        <w:ind w:left="227"/>
        <w:jc w:val="both"/>
      </w:pPr>
      <w:r>
        <w:rPr>
          <w:rFonts w:ascii="Times New Roman" w:hAnsi="Times New Roman" w:eastAsia="宋体"/>
          <w:b w:val="0"/>
          <w:i/>
          <w:color w:val="000000"/>
          <w:sz w:val="20"/>
        </w:rPr>
        <w:t>NOTE — See ISO 10007 for guidance on configuration management relevant to design and development changes (see 8.3.6).</w:t>
      </w:r>
    </w:p>
    <w:p w14:paraId="521150AF">
      <w:pPr>
        <w:spacing w:before="0" w:after="100"/>
        <w:ind w:left="227"/>
        <w:jc w:val="both"/>
      </w:pPr>
      <w:r>
        <w:rPr>
          <w:rFonts w:ascii="Times New Roman" w:hAnsi="Times New Roman" w:eastAsia="宋体"/>
          <w:b w:val="0"/>
          <w:i w:val="0"/>
          <w:color w:val="000000"/>
          <w:sz w:val="20"/>
        </w:rPr>
        <w:t>注：与设计和开发变更（见8.3.6）相关的配置管理指南见ISO 10007。</w:t>
      </w:r>
    </w:p>
    <w:p w14:paraId="77E22AA7">
      <w:pPr>
        <w:keepNext/>
        <w:spacing w:before="160" w:after="0"/>
        <w:jc w:val="left"/>
      </w:pPr>
      <w:r>
        <w:rPr>
          <w:rFonts w:ascii="Times New Roman" w:hAnsi="Times New Roman" w:eastAsia="宋体"/>
          <w:b/>
          <w:i w:val="0"/>
          <w:color w:val="000000"/>
          <w:sz w:val="21"/>
        </w:rPr>
        <w:t>A.8.4  Control of externally provided processes, products and services</w:t>
      </w:r>
    </w:p>
    <w:p w14:paraId="64421A5F">
      <w:pPr>
        <w:spacing w:before="0" w:after="80"/>
        <w:jc w:val="left"/>
      </w:pPr>
      <w:r>
        <w:rPr>
          <w:rFonts w:ascii="Times New Roman" w:hAnsi="Times New Roman" w:eastAsia="黑体"/>
          <w:b w:val="0"/>
          <w:i w:val="0"/>
          <w:color w:val="000000"/>
          <w:sz w:val="21"/>
        </w:rPr>
        <w:t>A.8.4  外部提供的过程、产品和服务的控制</w:t>
      </w:r>
    </w:p>
    <w:p w14:paraId="25A0C714">
      <w:pPr>
        <w:keepNext/>
        <w:spacing w:before="60" w:after="0"/>
        <w:jc w:val="both"/>
      </w:pPr>
      <w:r>
        <w:rPr>
          <w:rFonts w:ascii="Times New Roman" w:hAnsi="Times New Roman" w:eastAsia="宋体"/>
          <w:b w:val="0"/>
          <w:i w:val="0"/>
          <w:color w:val="000000"/>
          <w:sz w:val="21"/>
        </w:rPr>
        <w:t>Control in 8.4 means measures applied to ensure externally provided processes, products and services conform to agreed requirements.</w:t>
      </w:r>
    </w:p>
    <w:p w14:paraId="46A0EB02">
      <w:pPr>
        <w:spacing w:before="0" w:after="100"/>
        <w:jc w:val="both"/>
      </w:pPr>
      <w:r>
        <w:rPr>
          <w:rFonts w:ascii="Times New Roman" w:hAnsi="Times New Roman" w:eastAsia="宋体"/>
          <w:b w:val="0"/>
          <w:i w:val="0"/>
          <w:color w:val="000000"/>
          <w:sz w:val="21"/>
        </w:rPr>
        <w:t>8.4中的控制是指为确保外部提供的过程、产品和服务符合约定要求而实施的措施。</w:t>
      </w:r>
    </w:p>
    <w:p w14:paraId="276717FD">
      <w:pPr>
        <w:keepNext/>
        <w:spacing w:before="60" w:after="0"/>
        <w:jc w:val="both"/>
      </w:pPr>
      <w:r>
        <w:rPr>
          <w:rFonts w:ascii="Times New Roman" w:hAnsi="Times New Roman" w:eastAsia="宋体"/>
          <w:b w:val="0"/>
          <w:i w:val="0"/>
          <w:color w:val="000000"/>
          <w:sz w:val="21"/>
        </w:rPr>
        <w:t>Externally provided processes, products and services refer to activities or outputs supplied by a provider that is not included within the scope of the organization's quality management system. This includes purchased products or services, arrangements with an associate organization, or processes performed at the interface between the provider and the organization or customer.</w:t>
      </w:r>
    </w:p>
    <w:p w14:paraId="353E5613">
      <w:pPr>
        <w:spacing w:before="0" w:after="100"/>
        <w:jc w:val="both"/>
      </w:pPr>
      <w:r>
        <w:rPr>
          <w:rFonts w:ascii="Times New Roman" w:hAnsi="Times New Roman" w:eastAsia="宋体"/>
          <w:b w:val="0"/>
          <w:i w:val="0"/>
          <w:color w:val="000000"/>
          <w:sz w:val="21"/>
        </w:rPr>
        <w:t>外部提供的过程、产品和服务是指由未纳入组织质量管理体系范围内的供方所提供的活动或输出。这包括采购的产品或服务、与关联组织的安排，以及在供方与组织或顾客之间接口处实施的过程。</w:t>
      </w:r>
    </w:p>
    <w:p w14:paraId="3C275F90">
      <w:pPr>
        <w:keepNext/>
        <w:spacing w:before="60" w:after="0"/>
        <w:jc w:val="both"/>
      </w:pPr>
      <w:r>
        <w:rPr>
          <w:rFonts w:ascii="Times New Roman" w:hAnsi="Times New Roman" w:eastAsia="宋体"/>
          <w:b w:val="0"/>
          <w:i w:val="0"/>
          <w:color w:val="000000"/>
          <w:sz w:val="21"/>
        </w:rPr>
        <w:t>Accountability for conformity remains with the organization, even when provision is outsourced.</w:t>
      </w:r>
    </w:p>
    <w:p w14:paraId="6BAE5FD4">
      <w:pPr>
        <w:spacing w:before="0" w:after="100"/>
        <w:jc w:val="both"/>
      </w:pPr>
      <w:r>
        <w:rPr>
          <w:rFonts w:ascii="Times New Roman" w:hAnsi="Times New Roman" w:eastAsia="宋体"/>
          <w:b w:val="0"/>
          <w:i w:val="0"/>
          <w:color w:val="000000"/>
          <w:sz w:val="21"/>
        </w:rPr>
        <w:t>即使在提供外包的情况下，对符合性的责任仍由组织承担。</w:t>
      </w:r>
    </w:p>
    <w:p w14:paraId="667ACE1F">
      <w:pPr>
        <w:keepNext/>
        <w:spacing w:before="60" w:after="0"/>
        <w:jc w:val="both"/>
      </w:pPr>
      <w:r>
        <w:rPr>
          <w:rFonts w:ascii="Times New Roman" w:hAnsi="Times New Roman" w:eastAsia="宋体"/>
          <w:b w:val="0"/>
          <w:i w:val="0"/>
          <w:color w:val="000000"/>
          <w:sz w:val="21"/>
        </w:rPr>
        <w:t>For externally provided processes, products and services, the organization's competence requirements can include specific qualifications, which are communicated to external providers when relevant.</w:t>
      </w:r>
    </w:p>
    <w:p w14:paraId="6A6E6CC5">
      <w:pPr>
        <w:spacing w:before="0" w:after="100"/>
        <w:jc w:val="both"/>
      </w:pPr>
      <w:r>
        <w:rPr>
          <w:rFonts w:ascii="Times New Roman" w:hAnsi="Times New Roman" w:eastAsia="宋体"/>
          <w:b w:val="0"/>
          <w:i w:val="0"/>
          <w:color w:val="000000"/>
          <w:sz w:val="21"/>
        </w:rPr>
        <w:t>对于外部提供的过程、产品和服务，组织的能力要求可包括特定的资格，相关时将这些要求传达给外部供方。</w:t>
      </w:r>
    </w:p>
    <w:p w14:paraId="0BB89D1D">
      <w:pPr>
        <w:keepNext/>
        <w:spacing w:before="20" w:after="0"/>
        <w:ind w:left="227"/>
        <w:jc w:val="both"/>
      </w:pPr>
      <w:r>
        <w:rPr>
          <w:rFonts w:ascii="Times New Roman" w:hAnsi="Times New Roman" w:eastAsia="宋体"/>
          <w:b w:val="0"/>
          <w:i/>
          <w:color w:val="000000"/>
          <w:sz w:val="20"/>
        </w:rPr>
        <w:t>NOTE — See ISO 37500 for guidance on outsourcing.</w:t>
      </w:r>
    </w:p>
    <w:p w14:paraId="55F48784">
      <w:pPr>
        <w:spacing w:before="0" w:after="100"/>
        <w:ind w:left="227"/>
        <w:jc w:val="both"/>
      </w:pPr>
      <w:r>
        <w:rPr>
          <w:rFonts w:ascii="Times New Roman" w:hAnsi="Times New Roman" w:eastAsia="宋体"/>
          <w:b w:val="0"/>
          <w:i w:val="0"/>
          <w:color w:val="000000"/>
          <w:sz w:val="20"/>
        </w:rPr>
        <w:t>注：外包指南见ISO 37500。</w:t>
      </w:r>
    </w:p>
    <w:p w14:paraId="1BC99CC6">
      <w:pPr>
        <w:keepNext/>
        <w:spacing w:before="160" w:after="0"/>
        <w:jc w:val="left"/>
      </w:pPr>
      <w:r>
        <w:rPr>
          <w:rFonts w:ascii="Times New Roman" w:hAnsi="Times New Roman" w:eastAsia="宋体"/>
          <w:b/>
          <w:i w:val="0"/>
          <w:color w:val="000000"/>
          <w:sz w:val="21"/>
        </w:rPr>
        <w:t>A.8.5  Production and service provision</w:t>
      </w:r>
    </w:p>
    <w:p w14:paraId="661312F7">
      <w:pPr>
        <w:spacing w:before="0" w:after="80"/>
        <w:jc w:val="left"/>
      </w:pPr>
      <w:r>
        <w:rPr>
          <w:rFonts w:ascii="Times New Roman" w:hAnsi="Times New Roman" w:eastAsia="黑体"/>
          <w:b w:val="0"/>
          <w:i w:val="0"/>
          <w:color w:val="000000"/>
          <w:sz w:val="21"/>
        </w:rPr>
        <w:t>A.8.5  生产和服务提供</w:t>
      </w:r>
    </w:p>
    <w:p w14:paraId="5727B386">
      <w:pPr>
        <w:keepNext/>
        <w:spacing w:before="60" w:after="0"/>
        <w:jc w:val="both"/>
      </w:pPr>
      <w:r>
        <w:rPr>
          <w:rFonts w:ascii="Times New Roman" w:hAnsi="Times New Roman" w:eastAsia="宋体"/>
          <w:b w:val="0"/>
          <w:i w:val="0"/>
          <w:color w:val="000000"/>
          <w:sz w:val="21"/>
        </w:rPr>
        <w:t>Controlled conditions for production and service provision can depend on the extent to which supporting elements of the quality management system relevant to production and service provision are already established and effective. When outputs cannot be fully verified by monitoring or measurement of the output itself, process validation can provide confidence that the output will conform to requirements. Validation can be repeated when conditions change.</w:t>
      </w:r>
    </w:p>
    <w:p w14:paraId="0F9542FD">
      <w:pPr>
        <w:spacing w:before="0" w:after="100"/>
        <w:jc w:val="both"/>
      </w:pPr>
      <w:r>
        <w:rPr>
          <w:rFonts w:ascii="Times New Roman" w:hAnsi="Times New Roman" w:eastAsia="宋体"/>
          <w:b w:val="0"/>
          <w:i w:val="0"/>
          <w:color w:val="000000"/>
          <w:sz w:val="21"/>
        </w:rPr>
        <w:t>生产和服务提供的受控条件可能取决于与生产和服务提供相关的质量管理体系支持要素已建立并有效的程度。当输出无法通过对输出本身进行监视或测量而得到充分验证时，过程确认可提供输出符合要求的信心。当条件发生变化时，可再次进行确认。</w:t>
      </w:r>
    </w:p>
    <w:p w14:paraId="7C1B2F33">
      <w:pPr>
        <w:keepNext/>
        <w:spacing w:before="60" w:after="0"/>
        <w:jc w:val="both"/>
      </w:pPr>
      <w:r>
        <w:rPr>
          <w:rFonts w:ascii="Times New Roman" w:hAnsi="Times New Roman" w:eastAsia="宋体"/>
          <w:b w:val="0"/>
          <w:i w:val="0"/>
          <w:color w:val="000000"/>
          <w:sz w:val="21"/>
        </w:rPr>
        <w:t>Identification and traceability are closely related because traceability requires outputs to be uniquely identified when it is necessary to determine previous stages of processing or post-delivery status. Identification can show the status of control of outputs at each stage, such as whether planned checks have been completed or whether action is still required.</w:t>
      </w:r>
    </w:p>
    <w:p w14:paraId="5A491879">
      <w:pPr>
        <w:spacing w:before="0" w:after="100"/>
        <w:jc w:val="both"/>
      </w:pPr>
      <w:r>
        <w:rPr>
          <w:rFonts w:ascii="Times New Roman" w:hAnsi="Times New Roman" w:eastAsia="宋体"/>
          <w:b w:val="0"/>
          <w:i w:val="0"/>
          <w:color w:val="000000"/>
          <w:sz w:val="21"/>
        </w:rPr>
        <w:t>标识和可追溯性密切相关，因为当需要确定此前的加工阶段或交付后的状态时，可追溯性要求对输出进行唯一性标识。标识可显示各阶段输出的控制状态，如计划实施的检查是否已经完成，或是否仍需采取措施。</w:t>
      </w:r>
    </w:p>
    <w:p w14:paraId="1DED5C28">
      <w:pPr>
        <w:keepNext/>
        <w:spacing w:before="60" w:after="0"/>
        <w:jc w:val="both"/>
      </w:pPr>
      <w:r>
        <w:rPr>
          <w:rFonts w:ascii="Times New Roman" w:hAnsi="Times New Roman" w:eastAsia="宋体"/>
          <w:b w:val="0"/>
          <w:i w:val="0"/>
          <w:color w:val="000000"/>
          <w:sz w:val="21"/>
        </w:rPr>
        <w:t>Traceability can be required by the organization, customers or statutory and regulatory requirements. Traceability can enable previous stages of processing or post-delivery status to be determined and communicated to relevant interested parties when required.</w:t>
      </w:r>
    </w:p>
    <w:p w14:paraId="5F1DE89F">
      <w:pPr>
        <w:spacing w:before="0" w:after="100"/>
        <w:jc w:val="both"/>
      </w:pPr>
      <w:r>
        <w:rPr>
          <w:rFonts w:ascii="Times New Roman" w:hAnsi="Times New Roman" w:eastAsia="宋体"/>
          <w:b w:val="0"/>
          <w:i w:val="0"/>
          <w:color w:val="000000"/>
          <w:sz w:val="21"/>
        </w:rPr>
        <w:t>可追溯性可能为组织、顾客或法律法规要求所必需。可追溯性能够在需要时确定此前的加工阶段或交付后的状态，并将其传达给相关方。</w:t>
      </w:r>
    </w:p>
    <w:p w14:paraId="7F76B9E5">
      <w:pPr>
        <w:keepNext/>
        <w:spacing w:before="60" w:after="0"/>
        <w:jc w:val="both"/>
      </w:pPr>
      <w:r>
        <w:rPr>
          <w:rFonts w:ascii="Times New Roman" w:hAnsi="Times New Roman" w:eastAsia="宋体"/>
          <w:b w:val="0"/>
          <w:i w:val="0"/>
          <w:color w:val="000000"/>
          <w:sz w:val="21"/>
        </w:rPr>
        <w:t>Provision of products or services can involve the use of property belonging to the customer or external provider such as materials, information, tools or places.</w:t>
      </w:r>
    </w:p>
    <w:p w14:paraId="7264A5F0">
      <w:pPr>
        <w:spacing w:before="0" w:after="100"/>
        <w:jc w:val="both"/>
      </w:pPr>
      <w:r>
        <w:rPr>
          <w:rFonts w:ascii="Times New Roman" w:hAnsi="Times New Roman" w:eastAsia="宋体"/>
          <w:b w:val="0"/>
          <w:i w:val="0"/>
          <w:color w:val="000000"/>
          <w:sz w:val="21"/>
        </w:rPr>
        <w:t>产品或服务的提供可能涉及使用顾客或外部供方的财产，如材料、信息、工具或场所。</w:t>
      </w:r>
    </w:p>
    <w:p w14:paraId="07D1AC3D">
      <w:pPr>
        <w:keepNext/>
        <w:spacing w:before="60" w:after="0"/>
        <w:jc w:val="both"/>
      </w:pPr>
      <w:r>
        <w:rPr>
          <w:rFonts w:ascii="Times New Roman" w:hAnsi="Times New Roman" w:eastAsia="宋体"/>
          <w:b w:val="0"/>
          <w:i w:val="0"/>
          <w:color w:val="000000"/>
          <w:sz w:val="21"/>
        </w:rPr>
        <w:t>Preservation relates to maintaining conformity of products and services during production, service provision and delivery, and applies to tangible and intangible items.</w:t>
      </w:r>
    </w:p>
    <w:p w14:paraId="5AD3D703">
      <w:pPr>
        <w:spacing w:before="0" w:after="100"/>
        <w:jc w:val="both"/>
      </w:pPr>
      <w:r>
        <w:rPr>
          <w:rFonts w:ascii="Times New Roman" w:hAnsi="Times New Roman" w:eastAsia="宋体"/>
          <w:b w:val="0"/>
          <w:i w:val="0"/>
          <w:color w:val="000000"/>
          <w:sz w:val="21"/>
        </w:rPr>
        <w:t>防护与在生产、服务提供和交付期间保持产品和服务的符合性有关，适用于有形和无形的项目。</w:t>
      </w:r>
    </w:p>
    <w:p w14:paraId="5E902F78">
      <w:pPr>
        <w:keepNext/>
        <w:spacing w:before="60" w:after="0"/>
        <w:jc w:val="both"/>
      </w:pPr>
      <w:r>
        <w:rPr>
          <w:rFonts w:ascii="Times New Roman" w:hAnsi="Times New Roman" w:eastAsia="宋体"/>
          <w:b w:val="0"/>
          <w:i w:val="0"/>
          <w:color w:val="000000"/>
          <w:sz w:val="21"/>
        </w:rPr>
        <w:t>Post-delivery activities can relate to requirements arising from laws, contractual arrangements or customer needs and expectations and can include activities that maintain the conformity of products or services after delivery.</w:t>
      </w:r>
    </w:p>
    <w:p w14:paraId="6FA666FC">
      <w:pPr>
        <w:spacing w:before="0" w:after="100"/>
        <w:jc w:val="both"/>
      </w:pPr>
      <w:r>
        <w:rPr>
          <w:rFonts w:ascii="Times New Roman" w:hAnsi="Times New Roman" w:eastAsia="宋体"/>
          <w:b w:val="0"/>
          <w:i w:val="0"/>
          <w:color w:val="000000"/>
          <w:sz w:val="21"/>
        </w:rPr>
        <w:t>交付后活动可能与源于法律、合同安排或顾客需求和期望的要求相关，并可包括在交付后保持产品或服务符合性的活动。</w:t>
      </w:r>
    </w:p>
    <w:p w14:paraId="5EC7AE80">
      <w:pPr>
        <w:keepNext/>
        <w:spacing w:before="60" w:after="0"/>
        <w:jc w:val="both"/>
      </w:pPr>
      <w:r>
        <w:rPr>
          <w:rFonts w:ascii="Times New Roman" w:hAnsi="Times New Roman" w:eastAsia="宋体"/>
          <w:b w:val="0"/>
          <w:i w:val="0"/>
          <w:color w:val="000000"/>
          <w:sz w:val="21"/>
        </w:rPr>
        <w:t>Changes to planned arrangements can occur due to new circumstances, requests or identified risks and opportunities.</w:t>
      </w:r>
    </w:p>
    <w:p w14:paraId="656C7C59">
      <w:pPr>
        <w:spacing w:before="0" w:after="100"/>
        <w:jc w:val="both"/>
      </w:pPr>
      <w:r>
        <w:rPr>
          <w:rFonts w:ascii="Times New Roman" w:hAnsi="Times New Roman" w:eastAsia="宋体"/>
          <w:b w:val="0"/>
          <w:i w:val="0"/>
          <w:color w:val="000000"/>
          <w:sz w:val="21"/>
        </w:rPr>
        <w:t>策划安排的变更可能由于新情况、请求或已识别的风险和机遇而发生。</w:t>
      </w:r>
    </w:p>
    <w:p w14:paraId="2B14A9FE">
      <w:pPr>
        <w:keepNext/>
        <w:spacing w:before="60" w:after="0"/>
        <w:jc w:val="both"/>
      </w:pPr>
      <w:r>
        <w:rPr>
          <w:rFonts w:ascii="Times New Roman" w:hAnsi="Times New Roman" w:eastAsia="宋体"/>
          <w:b w:val="0"/>
          <w:i w:val="0"/>
          <w:color w:val="000000"/>
          <w:sz w:val="21"/>
        </w:rPr>
        <w:t>Documented information can enable decisions and responsibilities to be traced and can support the management of consequences.</w:t>
      </w:r>
    </w:p>
    <w:p w14:paraId="60577DDF">
      <w:pPr>
        <w:spacing w:before="0" w:after="100"/>
        <w:jc w:val="both"/>
      </w:pPr>
      <w:r>
        <w:rPr>
          <w:rFonts w:ascii="Times New Roman" w:hAnsi="Times New Roman" w:eastAsia="宋体"/>
          <w:b w:val="0"/>
          <w:i w:val="0"/>
          <w:color w:val="000000"/>
          <w:sz w:val="21"/>
        </w:rPr>
        <w:t>成文信息可使决策和职责得以追溯，并可支持对后果的管理。</w:t>
      </w:r>
    </w:p>
    <w:p w14:paraId="5116B552">
      <w:pPr>
        <w:keepNext/>
        <w:spacing w:before="160" w:after="0"/>
        <w:jc w:val="left"/>
      </w:pPr>
      <w:r>
        <w:rPr>
          <w:rFonts w:ascii="Times New Roman" w:hAnsi="Times New Roman" w:eastAsia="宋体"/>
          <w:b/>
          <w:i w:val="0"/>
          <w:color w:val="000000"/>
          <w:sz w:val="21"/>
        </w:rPr>
        <w:t>A.8.6  Release of products and services</w:t>
      </w:r>
    </w:p>
    <w:p w14:paraId="20A1A7F9">
      <w:pPr>
        <w:spacing w:before="0" w:after="80"/>
        <w:jc w:val="left"/>
      </w:pPr>
      <w:r>
        <w:rPr>
          <w:rFonts w:ascii="Times New Roman" w:hAnsi="Times New Roman" w:eastAsia="黑体"/>
          <w:b w:val="0"/>
          <w:i w:val="0"/>
          <w:color w:val="000000"/>
          <w:sz w:val="21"/>
        </w:rPr>
        <w:t>A.8.6  产品和服务的放行</w:t>
      </w:r>
    </w:p>
    <w:p w14:paraId="31B4894E">
      <w:pPr>
        <w:keepNext/>
        <w:spacing w:before="60" w:after="0"/>
        <w:jc w:val="both"/>
      </w:pPr>
      <w:r>
        <w:rPr>
          <w:rFonts w:ascii="Times New Roman" w:hAnsi="Times New Roman" w:eastAsia="宋体"/>
          <w:b w:val="0"/>
          <w:i w:val="0"/>
          <w:color w:val="000000"/>
          <w:sz w:val="21"/>
        </w:rPr>
        <w:t>Controls for the release of products and services relate to confirming that the product or service meets requirements before delivery. This confirmation can take place during production or service provision as well as prior to release and can relate to the conditions under which the product or service is delivered. Confirmation can occur at different stages to enable progression to the next stage.</w:t>
      </w:r>
    </w:p>
    <w:p w14:paraId="5C98A256">
      <w:pPr>
        <w:spacing w:before="0" w:after="100"/>
        <w:jc w:val="both"/>
      </w:pPr>
      <w:r>
        <w:rPr>
          <w:rFonts w:ascii="Times New Roman" w:hAnsi="Times New Roman" w:eastAsia="宋体"/>
          <w:b w:val="0"/>
          <w:i w:val="0"/>
          <w:color w:val="000000"/>
          <w:sz w:val="21"/>
        </w:rPr>
        <w:t>产品和服务放行的控制与在交付前确认产品或服务满足要求有关。这种确认可在生产或服务提供期间实施，也可在放行前实施，并可与产品或服务交付的条件相关。确认可在不同阶段实施，以便进入下一阶段。</w:t>
      </w:r>
    </w:p>
    <w:p w14:paraId="4DD582B8">
      <w:pPr>
        <w:keepNext/>
        <w:spacing w:before="160" w:after="0"/>
        <w:jc w:val="left"/>
      </w:pPr>
      <w:r>
        <w:rPr>
          <w:rFonts w:ascii="Times New Roman" w:hAnsi="Times New Roman" w:eastAsia="宋体"/>
          <w:b/>
          <w:i w:val="0"/>
          <w:color w:val="000000"/>
          <w:sz w:val="21"/>
        </w:rPr>
        <w:t>A.8.7  Control of nonconforming outputs</w:t>
      </w:r>
    </w:p>
    <w:p w14:paraId="070C67EA">
      <w:pPr>
        <w:spacing w:before="0" w:after="80"/>
        <w:jc w:val="left"/>
      </w:pPr>
      <w:r>
        <w:rPr>
          <w:rFonts w:ascii="Times New Roman" w:hAnsi="Times New Roman" w:eastAsia="黑体"/>
          <w:b w:val="0"/>
          <w:i w:val="0"/>
          <w:color w:val="000000"/>
          <w:sz w:val="21"/>
        </w:rPr>
        <w:t>A.8.7  不合格输出的控制</w:t>
      </w:r>
    </w:p>
    <w:p w14:paraId="1497201B">
      <w:pPr>
        <w:keepNext/>
        <w:spacing w:before="60" w:after="0"/>
        <w:jc w:val="both"/>
      </w:pPr>
      <w:r>
        <w:rPr>
          <w:rFonts w:ascii="Times New Roman" w:hAnsi="Times New Roman" w:eastAsia="宋体"/>
          <w:b w:val="0"/>
          <w:i w:val="0"/>
          <w:color w:val="000000"/>
          <w:sz w:val="21"/>
        </w:rPr>
        <w:t>Even when processes operate as planned, outputs can still fail to meet requirements.</w:t>
      </w:r>
    </w:p>
    <w:p w14:paraId="6B4E7CC9">
      <w:pPr>
        <w:spacing w:before="0" w:after="100"/>
        <w:jc w:val="both"/>
      </w:pPr>
      <w:r>
        <w:rPr>
          <w:rFonts w:ascii="Times New Roman" w:hAnsi="Times New Roman" w:eastAsia="宋体"/>
          <w:b w:val="0"/>
          <w:i w:val="0"/>
          <w:color w:val="000000"/>
          <w:sz w:val="21"/>
        </w:rPr>
        <w:t>即使过程按策划运行，输出仍可能不满足要求。</w:t>
      </w:r>
    </w:p>
    <w:p w14:paraId="3CC9655F">
      <w:pPr>
        <w:keepNext/>
        <w:spacing w:before="60" w:after="0"/>
        <w:jc w:val="both"/>
      </w:pPr>
      <w:r>
        <w:rPr>
          <w:rFonts w:ascii="Times New Roman" w:hAnsi="Times New Roman" w:eastAsia="宋体"/>
          <w:b w:val="0"/>
          <w:i w:val="0"/>
          <w:color w:val="000000"/>
          <w:sz w:val="21"/>
        </w:rPr>
        <w:t>Nonconforming outputs can relate to the final product or provided service, as well as those found during intermediate stages of production and service provision. They can be detected during planned controls, when accidental events occur, or when reported by customers or other interested parties.</w:t>
      </w:r>
    </w:p>
    <w:p w14:paraId="74991CE0">
      <w:pPr>
        <w:spacing w:before="0" w:after="100"/>
        <w:jc w:val="both"/>
      </w:pPr>
      <w:r>
        <w:rPr>
          <w:rFonts w:ascii="Times New Roman" w:hAnsi="Times New Roman" w:eastAsia="宋体"/>
          <w:b w:val="0"/>
          <w:i w:val="0"/>
          <w:color w:val="000000"/>
          <w:sz w:val="21"/>
        </w:rPr>
        <w:t>不合格输出可涉及最终产品或所提供的服务，也可涉及在生产和服务提供的中间阶段所发现的不合格。不合格输出可在实施策划的控制时、在意外事件发生时，或在顾客或其他相关方报告时被发现。</w:t>
      </w:r>
    </w:p>
    <w:p w14:paraId="2BCE0456">
      <w:pPr>
        <w:keepNext/>
        <w:spacing w:before="200" w:after="0"/>
        <w:jc w:val="left"/>
      </w:pPr>
      <w:r>
        <w:rPr>
          <w:rFonts w:ascii="Times New Roman" w:hAnsi="Times New Roman" w:eastAsia="宋体"/>
          <w:b/>
          <w:i w:val="0"/>
          <w:color w:val="000000"/>
          <w:sz w:val="22"/>
        </w:rPr>
        <w:t>A.9  Performance evaluation</w:t>
      </w:r>
    </w:p>
    <w:p w14:paraId="6C96137B">
      <w:pPr>
        <w:spacing w:before="0" w:after="80"/>
        <w:jc w:val="left"/>
      </w:pPr>
      <w:r>
        <w:rPr>
          <w:rFonts w:ascii="Times New Roman" w:hAnsi="Times New Roman" w:eastAsia="黑体"/>
          <w:b w:val="0"/>
          <w:i w:val="0"/>
          <w:color w:val="000000"/>
          <w:sz w:val="22"/>
        </w:rPr>
        <w:t>A.9  绩效评价</w:t>
      </w:r>
    </w:p>
    <w:p w14:paraId="34C686FD">
      <w:pPr>
        <w:keepNext/>
        <w:spacing w:before="160" w:after="0"/>
        <w:jc w:val="left"/>
      </w:pPr>
      <w:r>
        <w:rPr>
          <w:rFonts w:ascii="Times New Roman" w:hAnsi="Times New Roman" w:eastAsia="宋体"/>
          <w:b/>
          <w:i w:val="0"/>
          <w:color w:val="000000"/>
          <w:sz w:val="21"/>
        </w:rPr>
        <w:t>A.9.1  Monitoring, measurement, analysis and evaluation</w:t>
      </w:r>
    </w:p>
    <w:p w14:paraId="551700A7">
      <w:pPr>
        <w:spacing w:before="0" w:after="80"/>
        <w:jc w:val="left"/>
      </w:pPr>
      <w:r>
        <w:rPr>
          <w:rFonts w:ascii="Times New Roman" w:hAnsi="Times New Roman" w:eastAsia="黑体"/>
          <w:b w:val="0"/>
          <w:i w:val="0"/>
          <w:color w:val="000000"/>
          <w:sz w:val="21"/>
        </w:rPr>
        <w:t>A.9.1  监视、测量、分析和评价</w:t>
      </w:r>
    </w:p>
    <w:p w14:paraId="0A166403">
      <w:pPr>
        <w:keepNext/>
        <w:spacing w:before="60" w:after="0"/>
        <w:jc w:val="both"/>
      </w:pPr>
      <w:r>
        <w:rPr>
          <w:rFonts w:ascii="Times New Roman" w:hAnsi="Times New Roman" w:eastAsia="宋体"/>
          <w:b w:val="0"/>
          <w:i w:val="0"/>
          <w:color w:val="000000"/>
          <w:sz w:val="21"/>
        </w:rPr>
        <w:t>Monitoring and measurement provide data and information that can be used for analysis and evaluation. The approach to monitoring and measurement can be influenced by changes in external and internal issues, interested party requirements and the organization's strategic direction.</w:t>
      </w:r>
    </w:p>
    <w:p w14:paraId="28AFB15B">
      <w:pPr>
        <w:spacing w:before="0" w:after="100"/>
        <w:jc w:val="both"/>
      </w:pPr>
      <w:r>
        <w:rPr>
          <w:rFonts w:ascii="Times New Roman" w:hAnsi="Times New Roman" w:eastAsia="宋体"/>
          <w:b w:val="0"/>
          <w:i w:val="0"/>
          <w:color w:val="000000"/>
          <w:sz w:val="21"/>
        </w:rPr>
        <w:t>监视和测量提供可用于分析和评价的数据和信息。监视和测量的方式可能受外部和内部因素的变化、相关方要求以及组织战略方向的影响。</w:t>
      </w:r>
    </w:p>
    <w:p w14:paraId="2C67D968">
      <w:pPr>
        <w:keepNext/>
        <w:spacing w:before="60" w:after="0"/>
        <w:jc w:val="both"/>
      </w:pPr>
      <w:r>
        <w:rPr>
          <w:rFonts w:ascii="Times New Roman" w:hAnsi="Times New Roman" w:eastAsia="宋体"/>
          <w:b w:val="0"/>
          <w:i w:val="0"/>
          <w:color w:val="000000"/>
          <w:sz w:val="21"/>
        </w:rPr>
        <w:t>Customer satisfaction, as referenced in 9.1, relates about how customers perceive the organization's ability to meet their needs and expectations. Information about customer satisfaction is used as input for improvement actions and supports the purpose of the quality management system.</w:t>
      </w:r>
    </w:p>
    <w:p w14:paraId="658EA4A5">
      <w:pPr>
        <w:spacing w:before="0" w:after="100"/>
        <w:jc w:val="both"/>
      </w:pPr>
      <w:r>
        <w:rPr>
          <w:rFonts w:ascii="Times New Roman" w:hAnsi="Times New Roman" w:eastAsia="宋体"/>
          <w:b w:val="0"/>
          <w:i w:val="0"/>
          <w:color w:val="000000"/>
          <w:sz w:val="21"/>
        </w:rPr>
        <w:t>9.1中所述的顾客满意涉及顾客对组织满足其需求和期望能力的感知。有关顾客满意的信息用作改进措施的输入，并支持质量管理体系的宗旨。</w:t>
      </w:r>
    </w:p>
    <w:p w14:paraId="3B008EEF">
      <w:pPr>
        <w:keepNext/>
        <w:spacing w:before="20" w:after="0"/>
        <w:ind w:left="227"/>
        <w:jc w:val="both"/>
      </w:pPr>
      <w:r>
        <w:rPr>
          <w:rFonts w:ascii="Times New Roman" w:hAnsi="Times New Roman" w:eastAsia="宋体"/>
          <w:b w:val="0"/>
          <w:i/>
          <w:color w:val="000000"/>
          <w:sz w:val="20"/>
        </w:rPr>
        <w:t>NOTE 1 — See ISO 10004 for guidance on monitoring and measuring customer satisfaction.</w:t>
      </w:r>
    </w:p>
    <w:p w14:paraId="3A4B4C2D">
      <w:pPr>
        <w:spacing w:before="0" w:after="100"/>
        <w:ind w:left="227"/>
        <w:jc w:val="both"/>
      </w:pPr>
      <w:r>
        <w:rPr>
          <w:rFonts w:ascii="Times New Roman" w:hAnsi="Times New Roman" w:eastAsia="宋体"/>
          <w:b w:val="0"/>
          <w:i w:val="0"/>
          <w:color w:val="000000"/>
          <w:sz w:val="20"/>
        </w:rPr>
        <w:t>注1：顾客满意的监视和测量指南见ISO 10004。</w:t>
      </w:r>
    </w:p>
    <w:p w14:paraId="5168351C">
      <w:pPr>
        <w:keepNext/>
        <w:spacing w:before="20" w:after="0"/>
        <w:ind w:left="227"/>
        <w:jc w:val="both"/>
      </w:pPr>
      <w:r>
        <w:rPr>
          <w:rFonts w:ascii="Times New Roman" w:hAnsi="Times New Roman" w:eastAsia="宋体"/>
          <w:b w:val="0"/>
          <w:i/>
          <w:color w:val="000000"/>
          <w:sz w:val="20"/>
        </w:rPr>
        <w:t>NOTE 2 — See ISO 10003 for guidance on dispute resolution external to organizations.</w:t>
      </w:r>
    </w:p>
    <w:p w14:paraId="55B731DF">
      <w:pPr>
        <w:spacing w:before="0" w:after="100"/>
        <w:ind w:left="227"/>
        <w:jc w:val="both"/>
      </w:pPr>
      <w:r>
        <w:rPr>
          <w:rFonts w:ascii="Times New Roman" w:hAnsi="Times New Roman" w:eastAsia="宋体"/>
          <w:b w:val="0"/>
          <w:i w:val="0"/>
          <w:color w:val="000000"/>
          <w:sz w:val="20"/>
        </w:rPr>
        <w:t>注2：组织外部争议解决指南见ISO 10003。</w:t>
      </w:r>
    </w:p>
    <w:p w14:paraId="3C573B6F">
      <w:pPr>
        <w:keepNext/>
        <w:spacing w:before="20" w:after="0"/>
        <w:ind w:left="227"/>
        <w:jc w:val="both"/>
      </w:pPr>
      <w:r>
        <w:rPr>
          <w:rFonts w:ascii="Times New Roman" w:hAnsi="Times New Roman" w:eastAsia="宋体"/>
          <w:b w:val="0"/>
          <w:i/>
          <w:color w:val="000000"/>
          <w:sz w:val="20"/>
        </w:rPr>
        <w:t>NOTE 3 — See ISO 10009 for guidance for quality tools and their application.</w:t>
      </w:r>
    </w:p>
    <w:p w14:paraId="1A51679C">
      <w:pPr>
        <w:spacing w:before="0" w:after="100"/>
        <w:ind w:left="227"/>
        <w:jc w:val="both"/>
      </w:pPr>
      <w:r>
        <w:rPr>
          <w:rFonts w:ascii="Times New Roman" w:hAnsi="Times New Roman" w:eastAsia="宋体"/>
          <w:b w:val="0"/>
          <w:i w:val="0"/>
          <w:color w:val="000000"/>
          <w:sz w:val="20"/>
        </w:rPr>
        <w:t>注3：质量工具及其应用指南见ISO 10009。</w:t>
      </w:r>
    </w:p>
    <w:p w14:paraId="02181B00">
      <w:pPr>
        <w:keepNext/>
        <w:spacing w:before="20" w:after="0"/>
        <w:ind w:left="227"/>
        <w:jc w:val="both"/>
      </w:pPr>
      <w:r>
        <w:rPr>
          <w:rFonts w:ascii="Times New Roman" w:hAnsi="Times New Roman" w:eastAsia="宋体"/>
          <w:b w:val="0"/>
          <w:i/>
          <w:color w:val="000000"/>
          <w:sz w:val="20"/>
        </w:rPr>
        <w:t>NOTE 4 — See ISO 10017 for guidance on statistical techniques.</w:t>
      </w:r>
    </w:p>
    <w:p w14:paraId="26B92298">
      <w:pPr>
        <w:spacing w:before="0" w:after="100"/>
        <w:ind w:left="227"/>
        <w:jc w:val="both"/>
      </w:pPr>
      <w:r>
        <w:rPr>
          <w:rFonts w:ascii="Times New Roman" w:hAnsi="Times New Roman" w:eastAsia="宋体"/>
          <w:b w:val="0"/>
          <w:i w:val="0"/>
          <w:color w:val="000000"/>
          <w:sz w:val="20"/>
        </w:rPr>
        <w:t>注4：统计技术指南见ISO 10017。</w:t>
      </w:r>
    </w:p>
    <w:p w14:paraId="3DE4BE64">
      <w:pPr>
        <w:keepNext/>
        <w:spacing w:before="160" w:after="0"/>
        <w:jc w:val="left"/>
      </w:pPr>
      <w:r>
        <w:rPr>
          <w:rFonts w:ascii="Times New Roman" w:hAnsi="Times New Roman" w:eastAsia="宋体"/>
          <w:b/>
          <w:i w:val="0"/>
          <w:color w:val="000000"/>
          <w:sz w:val="21"/>
        </w:rPr>
        <w:t>A.9.2  Internal audit</w:t>
      </w:r>
    </w:p>
    <w:p w14:paraId="1111D445">
      <w:pPr>
        <w:spacing w:before="0" w:after="80"/>
        <w:jc w:val="left"/>
      </w:pPr>
      <w:r>
        <w:rPr>
          <w:rFonts w:ascii="Times New Roman" w:hAnsi="Times New Roman" w:eastAsia="黑体"/>
          <w:b w:val="0"/>
          <w:i w:val="0"/>
          <w:color w:val="000000"/>
          <w:sz w:val="21"/>
        </w:rPr>
        <w:t>A.9.2  内部审核</w:t>
      </w:r>
    </w:p>
    <w:p w14:paraId="372E1372">
      <w:pPr>
        <w:keepNext/>
        <w:spacing w:before="60" w:after="0"/>
        <w:jc w:val="both"/>
      </w:pPr>
      <w:r>
        <w:rPr>
          <w:rFonts w:ascii="Times New Roman" w:hAnsi="Times New Roman" w:eastAsia="宋体"/>
          <w:b w:val="0"/>
          <w:i w:val="0"/>
          <w:color w:val="000000"/>
          <w:sz w:val="21"/>
        </w:rPr>
        <w:t>Internal audit, as referenced in 9.2, involves a programme through which the organization evaluates the status of its processes and their contribution to achieving the objectives of the quality management system. Internal audit applies to all processes within the quality management system.</w:t>
      </w:r>
    </w:p>
    <w:p w14:paraId="0987EE98">
      <w:pPr>
        <w:spacing w:before="0" w:after="100"/>
        <w:jc w:val="both"/>
      </w:pPr>
      <w:r>
        <w:rPr>
          <w:rFonts w:ascii="Times New Roman" w:hAnsi="Times New Roman" w:eastAsia="宋体"/>
          <w:b w:val="0"/>
          <w:i w:val="0"/>
          <w:color w:val="000000"/>
          <w:sz w:val="21"/>
        </w:rPr>
        <w:t>9.2中所述的内部审核，涉及一个方案（一个或多个），组织通过该方案评价其过程的状况及其对实现质量管理体系目标的贡献。内部审核适用于质量管理体系内的所有过程。</w:t>
      </w:r>
    </w:p>
    <w:p w14:paraId="674C9C19">
      <w:pPr>
        <w:keepNext/>
        <w:spacing w:before="60" w:after="0"/>
        <w:jc w:val="both"/>
      </w:pPr>
      <w:r>
        <w:rPr>
          <w:rFonts w:ascii="Times New Roman" w:hAnsi="Times New Roman" w:eastAsia="宋体"/>
          <w:b w:val="0"/>
          <w:i w:val="0"/>
          <w:color w:val="000000"/>
          <w:sz w:val="21"/>
        </w:rPr>
        <w:t>The determination of audit frequency and scope is influenced by the organization's evaluation of relevant risks and changes in external and internal issues. Internal audits can provide information about the effectiveness of the quality management system.</w:t>
      </w:r>
    </w:p>
    <w:p w14:paraId="3343D457">
      <w:pPr>
        <w:spacing w:before="0" w:after="100"/>
        <w:jc w:val="both"/>
      </w:pPr>
      <w:r>
        <w:rPr>
          <w:rFonts w:ascii="Times New Roman" w:hAnsi="Times New Roman" w:eastAsia="宋体"/>
          <w:b w:val="0"/>
          <w:i w:val="0"/>
          <w:color w:val="000000"/>
          <w:sz w:val="21"/>
        </w:rPr>
        <w:t>审核频次和范围的确定受组织对相关风险以及外部和内部因素变化的评价的影响。内部审核可提供有关质量管理体系有效性的信息。</w:t>
      </w:r>
    </w:p>
    <w:p w14:paraId="1E4D1833">
      <w:pPr>
        <w:keepNext/>
        <w:spacing w:before="60" w:after="0"/>
        <w:jc w:val="both"/>
      </w:pPr>
      <w:r>
        <w:rPr>
          <w:rFonts w:ascii="Times New Roman" w:hAnsi="Times New Roman" w:eastAsia="宋体"/>
          <w:b w:val="0"/>
          <w:i w:val="0"/>
          <w:color w:val="000000"/>
          <w:sz w:val="21"/>
        </w:rPr>
        <w:t>Internal audit can highlight aspects of the quality management system that require correction or improvement and can identify opportunities. Internal audit results are considered by top management when making decisions related to the quality management system.</w:t>
      </w:r>
    </w:p>
    <w:p w14:paraId="2F6571DC">
      <w:pPr>
        <w:spacing w:before="0" w:after="100"/>
        <w:jc w:val="both"/>
      </w:pPr>
      <w:r>
        <w:rPr>
          <w:rFonts w:ascii="Times New Roman" w:hAnsi="Times New Roman" w:eastAsia="宋体"/>
          <w:b w:val="0"/>
          <w:i w:val="0"/>
          <w:color w:val="000000"/>
          <w:sz w:val="21"/>
        </w:rPr>
        <w:t>内部审核可突出质量管理体系中需要纠正或改进的方面，并可识别机遇。最高管理者在作出与质量管理体系相关的决策时考虑内部审核的结果。</w:t>
      </w:r>
    </w:p>
    <w:p w14:paraId="1A6F4314">
      <w:pPr>
        <w:keepNext/>
        <w:spacing w:before="20" w:after="0"/>
        <w:ind w:left="227"/>
        <w:jc w:val="both"/>
      </w:pPr>
      <w:r>
        <w:rPr>
          <w:rFonts w:ascii="Times New Roman" w:hAnsi="Times New Roman" w:eastAsia="宋体"/>
          <w:b w:val="0"/>
          <w:i/>
          <w:color w:val="000000"/>
          <w:sz w:val="20"/>
        </w:rPr>
        <w:t>NOTE 1 — See ISO 19011 for guidance on auditing management systems.</w:t>
      </w:r>
    </w:p>
    <w:p w14:paraId="13D0AF94">
      <w:pPr>
        <w:spacing w:before="0" w:after="100"/>
        <w:ind w:left="227"/>
        <w:jc w:val="both"/>
      </w:pPr>
      <w:r>
        <w:rPr>
          <w:rFonts w:ascii="Times New Roman" w:hAnsi="Times New Roman" w:eastAsia="宋体"/>
          <w:b w:val="0"/>
          <w:i w:val="0"/>
          <w:color w:val="000000"/>
          <w:sz w:val="20"/>
        </w:rPr>
        <w:t>注1：管理体系审核指南见ISO 19011。</w:t>
      </w:r>
    </w:p>
    <w:p w14:paraId="5FB4D1D0">
      <w:pPr>
        <w:keepNext/>
        <w:spacing w:before="20" w:after="0"/>
        <w:ind w:left="227"/>
        <w:jc w:val="both"/>
      </w:pPr>
      <w:r>
        <w:rPr>
          <w:rFonts w:ascii="Times New Roman" w:hAnsi="Times New Roman" w:eastAsia="宋体"/>
          <w:b w:val="0"/>
          <w:i/>
          <w:color w:val="000000"/>
          <w:sz w:val="20"/>
        </w:rPr>
        <w:t>NOTE 2 — See the ISO 9001 Auditing Practices Group for guidance.</w:t>
      </w:r>
    </w:p>
    <w:p w14:paraId="090C90E9">
      <w:pPr>
        <w:spacing w:before="0" w:after="100"/>
        <w:ind w:left="227"/>
        <w:jc w:val="both"/>
      </w:pPr>
      <w:r>
        <w:rPr>
          <w:rFonts w:ascii="Times New Roman" w:hAnsi="Times New Roman" w:eastAsia="宋体"/>
          <w:b w:val="0"/>
          <w:i w:val="0"/>
          <w:color w:val="000000"/>
          <w:sz w:val="20"/>
        </w:rPr>
        <w:t>注2：指南见ISO 9001审核实践组。</w:t>
      </w:r>
    </w:p>
    <w:p w14:paraId="28B5AAD4">
      <w:pPr>
        <w:keepNext/>
        <w:spacing w:before="160" w:after="0"/>
        <w:jc w:val="left"/>
      </w:pPr>
      <w:r>
        <w:rPr>
          <w:rFonts w:ascii="Times New Roman" w:hAnsi="Times New Roman" w:eastAsia="宋体"/>
          <w:b/>
          <w:i w:val="0"/>
          <w:color w:val="000000"/>
          <w:sz w:val="21"/>
        </w:rPr>
        <w:t>A.9.3  Management review</w:t>
      </w:r>
    </w:p>
    <w:p w14:paraId="50C0A075">
      <w:pPr>
        <w:spacing w:before="0" w:after="80"/>
        <w:jc w:val="left"/>
      </w:pPr>
      <w:r>
        <w:rPr>
          <w:rFonts w:ascii="Times New Roman" w:hAnsi="Times New Roman" w:eastAsia="黑体"/>
          <w:b w:val="0"/>
          <w:i w:val="0"/>
          <w:color w:val="000000"/>
          <w:sz w:val="21"/>
        </w:rPr>
        <w:t>A.9.3  管理评审</w:t>
      </w:r>
    </w:p>
    <w:p w14:paraId="6D90DD53">
      <w:pPr>
        <w:keepNext/>
        <w:spacing w:before="60" w:after="0"/>
        <w:jc w:val="both"/>
      </w:pPr>
      <w:r>
        <w:rPr>
          <w:rFonts w:ascii="Times New Roman" w:hAnsi="Times New Roman" w:eastAsia="宋体"/>
          <w:b w:val="0"/>
          <w:i w:val="0"/>
          <w:color w:val="000000"/>
          <w:sz w:val="21"/>
        </w:rPr>
        <w:t>Management review is a process through which top management obtains information on the status of the quality management system and considers this information when making decisions.</w:t>
      </w:r>
    </w:p>
    <w:p w14:paraId="172E8846">
      <w:pPr>
        <w:spacing w:before="0" w:after="100"/>
        <w:jc w:val="both"/>
      </w:pPr>
      <w:r>
        <w:rPr>
          <w:rFonts w:ascii="Times New Roman" w:hAnsi="Times New Roman" w:eastAsia="宋体"/>
          <w:b w:val="0"/>
          <w:i w:val="0"/>
          <w:color w:val="000000"/>
          <w:sz w:val="21"/>
        </w:rPr>
        <w:t>管理评审是最高管理者获取质量管理体系状况信息并在决策时考虑这些信息的过程。</w:t>
      </w:r>
    </w:p>
    <w:p w14:paraId="06A81E29">
      <w:pPr>
        <w:keepNext/>
        <w:spacing w:before="60" w:after="0"/>
        <w:jc w:val="both"/>
      </w:pPr>
      <w:r>
        <w:rPr>
          <w:rFonts w:ascii="Times New Roman" w:hAnsi="Times New Roman" w:eastAsia="宋体"/>
          <w:b w:val="0"/>
          <w:i w:val="0"/>
          <w:color w:val="000000"/>
          <w:sz w:val="21"/>
        </w:rPr>
        <w:t>Trends in audit results refer to all audits, including first-, second- and third-party audits of the organization's quality management system.</w:t>
      </w:r>
    </w:p>
    <w:p w14:paraId="3F02E951">
      <w:pPr>
        <w:spacing w:before="0" w:after="100"/>
        <w:jc w:val="both"/>
      </w:pPr>
      <w:r>
        <w:rPr>
          <w:rFonts w:ascii="Times New Roman" w:hAnsi="Times New Roman" w:eastAsia="宋体"/>
          <w:b w:val="0"/>
          <w:i w:val="0"/>
          <w:color w:val="000000"/>
          <w:sz w:val="21"/>
        </w:rPr>
        <w:t>审核结果的趋势涉及全部审核，包括对组织质量管理体系的第一方、第二方和第三方审核。</w:t>
      </w:r>
    </w:p>
    <w:p w14:paraId="28B6D584">
      <w:pPr>
        <w:keepNext/>
        <w:spacing w:before="60" w:after="0"/>
        <w:jc w:val="both"/>
      </w:pPr>
      <w:r>
        <w:rPr>
          <w:rFonts w:ascii="Times New Roman" w:hAnsi="Times New Roman" w:eastAsia="宋体"/>
          <w:b w:val="0"/>
          <w:i w:val="0"/>
          <w:color w:val="000000"/>
          <w:sz w:val="21"/>
        </w:rPr>
        <w:t>The intervals between management reviews are determined by the organization and can be influenced by risks, opportunities and changes in the external and internal context.</w:t>
      </w:r>
    </w:p>
    <w:p w14:paraId="7AB03E62">
      <w:pPr>
        <w:spacing w:before="0" w:after="100"/>
        <w:jc w:val="both"/>
      </w:pPr>
      <w:r>
        <w:rPr>
          <w:rFonts w:ascii="Times New Roman" w:hAnsi="Times New Roman" w:eastAsia="宋体"/>
          <w:b w:val="0"/>
          <w:i w:val="0"/>
          <w:color w:val="000000"/>
          <w:sz w:val="21"/>
        </w:rPr>
        <w:t>管理评审的时间间隔由组织确定，并可能受风险、机遇以及外部和内部环境变化的影响。</w:t>
      </w:r>
    </w:p>
    <w:p w14:paraId="5CEC7EB7">
      <w:pPr>
        <w:keepNext/>
        <w:spacing w:before="60" w:after="0"/>
        <w:jc w:val="both"/>
      </w:pPr>
      <w:r>
        <w:rPr>
          <w:rFonts w:ascii="Times New Roman" w:hAnsi="Times New Roman" w:eastAsia="宋体"/>
          <w:b w:val="0"/>
          <w:i w:val="0"/>
          <w:color w:val="000000"/>
          <w:sz w:val="21"/>
        </w:rPr>
        <w:t>Management review is used by top management to support evidence-based decision-making related to the quality management system, including resource needs and improvement opportunities.</w:t>
      </w:r>
    </w:p>
    <w:p w14:paraId="0298249B">
      <w:pPr>
        <w:spacing w:before="0" w:after="100"/>
        <w:jc w:val="both"/>
      </w:pPr>
      <w:r>
        <w:rPr>
          <w:rFonts w:ascii="Times New Roman" w:hAnsi="Times New Roman" w:eastAsia="宋体"/>
          <w:b w:val="0"/>
          <w:i w:val="0"/>
          <w:color w:val="000000"/>
          <w:sz w:val="21"/>
        </w:rPr>
        <w:t>最高管理者利用管理评审支持与质量管理体系相关的循证决策，包括资源需求和改进机遇。</w:t>
      </w:r>
    </w:p>
    <w:p w14:paraId="2599163A">
      <w:pPr>
        <w:keepNext/>
        <w:spacing w:before="200" w:after="0"/>
        <w:jc w:val="left"/>
      </w:pPr>
      <w:r>
        <w:rPr>
          <w:rFonts w:ascii="Times New Roman" w:hAnsi="Times New Roman" w:eastAsia="宋体"/>
          <w:b/>
          <w:i w:val="0"/>
          <w:color w:val="000000"/>
          <w:sz w:val="22"/>
        </w:rPr>
        <w:t>A.10  Improvement</w:t>
      </w:r>
    </w:p>
    <w:p w14:paraId="169FCA9B">
      <w:pPr>
        <w:spacing w:before="0" w:after="80"/>
        <w:jc w:val="left"/>
      </w:pPr>
      <w:r>
        <w:rPr>
          <w:rFonts w:ascii="Times New Roman" w:hAnsi="Times New Roman" w:eastAsia="黑体"/>
          <w:b w:val="0"/>
          <w:i w:val="0"/>
          <w:color w:val="000000"/>
          <w:sz w:val="22"/>
        </w:rPr>
        <w:t>A.10  改进</w:t>
      </w:r>
    </w:p>
    <w:p w14:paraId="366AEE5F">
      <w:pPr>
        <w:keepNext/>
        <w:spacing w:before="160" w:after="0"/>
        <w:jc w:val="left"/>
      </w:pPr>
      <w:r>
        <w:rPr>
          <w:rFonts w:ascii="Times New Roman" w:hAnsi="Times New Roman" w:eastAsia="宋体"/>
          <w:b/>
          <w:i w:val="0"/>
          <w:color w:val="000000"/>
          <w:sz w:val="21"/>
        </w:rPr>
        <w:t>A.10.1  Continual improvement</w:t>
      </w:r>
    </w:p>
    <w:p w14:paraId="44B802F8">
      <w:pPr>
        <w:spacing w:before="0" w:after="80"/>
        <w:jc w:val="left"/>
      </w:pPr>
      <w:r>
        <w:rPr>
          <w:rFonts w:ascii="Times New Roman" w:hAnsi="Times New Roman" w:eastAsia="黑体"/>
          <w:b w:val="0"/>
          <w:i w:val="0"/>
          <w:color w:val="000000"/>
          <w:sz w:val="21"/>
        </w:rPr>
        <w:t>A.10.1  持续改进</w:t>
      </w:r>
    </w:p>
    <w:p w14:paraId="13AE54FA">
      <w:pPr>
        <w:keepNext/>
        <w:spacing w:before="60" w:after="0"/>
        <w:jc w:val="both"/>
      </w:pPr>
      <w:r>
        <w:rPr>
          <w:rFonts w:ascii="Times New Roman" w:hAnsi="Times New Roman" w:eastAsia="宋体"/>
          <w:b w:val="0"/>
          <w:i w:val="0"/>
          <w:color w:val="000000"/>
          <w:sz w:val="21"/>
        </w:rPr>
        <w:t>Continual improvement aims to enhance the organization's performance and the effectiveness of its quality management system.</w:t>
      </w:r>
    </w:p>
    <w:p w14:paraId="548D259A">
      <w:pPr>
        <w:spacing w:before="0" w:after="100"/>
        <w:jc w:val="both"/>
      </w:pPr>
      <w:r>
        <w:rPr>
          <w:rFonts w:ascii="Times New Roman" w:hAnsi="Times New Roman" w:eastAsia="宋体"/>
          <w:b w:val="0"/>
          <w:i w:val="0"/>
          <w:color w:val="000000"/>
          <w:sz w:val="21"/>
        </w:rPr>
        <w:t>持续改进旨在增强组织的绩效及其质量管理体系的有效性。</w:t>
      </w:r>
    </w:p>
    <w:p w14:paraId="5A413A68">
      <w:pPr>
        <w:keepNext/>
        <w:spacing w:before="60" w:after="0"/>
        <w:jc w:val="both"/>
      </w:pPr>
      <w:r>
        <w:rPr>
          <w:rFonts w:ascii="Times New Roman" w:hAnsi="Times New Roman" w:eastAsia="宋体"/>
          <w:b w:val="0"/>
          <w:i w:val="0"/>
          <w:color w:val="000000"/>
          <w:sz w:val="21"/>
        </w:rPr>
        <w:t>Improvement can result from changes in context, risks or opportunities, or the adoption of technologies.</w:t>
      </w:r>
    </w:p>
    <w:p w14:paraId="7BC656F7">
      <w:pPr>
        <w:spacing w:before="0" w:after="100"/>
        <w:jc w:val="both"/>
      </w:pPr>
      <w:r>
        <w:rPr>
          <w:rFonts w:ascii="Times New Roman" w:hAnsi="Times New Roman" w:eastAsia="宋体"/>
          <w:b w:val="0"/>
          <w:i w:val="0"/>
          <w:color w:val="000000"/>
          <w:sz w:val="21"/>
        </w:rPr>
        <w:t>改进可能源于环境、风险或机遇的变化，或技术的采用。</w:t>
      </w:r>
    </w:p>
    <w:p w14:paraId="1BC62332">
      <w:pPr>
        <w:keepNext/>
        <w:spacing w:before="60" w:after="0"/>
        <w:jc w:val="both"/>
      </w:pPr>
      <w:r>
        <w:rPr>
          <w:rFonts w:ascii="Times New Roman" w:hAnsi="Times New Roman" w:eastAsia="宋体"/>
          <w:b w:val="0"/>
          <w:i w:val="0"/>
          <w:color w:val="000000"/>
          <w:sz w:val="21"/>
        </w:rPr>
        <w:t>The nature and extent of improvement can be influenced by developments such as increased reliance on data and the integration of technologies within and between organizations.</w:t>
      </w:r>
    </w:p>
    <w:p w14:paraId="0C7A791C">
      <w:pPr>
        <w:spacing w:before="0" w:after="100"/>
        <w:jc w:val="both"/>
      </w:pPr>
      <w:r>
        <w:rPr>
          <w:rFonts w:ascii="Times New Roman" w:hAnsi="Times New Roman" w:eastAsia="宋体"/>
          <w:b w:val="0"/>
          <w:i w:val="0"/>
          <w:color w:val="000000"/>
          <w:sz w:val="21"/>
        </w:rPr>
        <w:t>改进的性质和程度可能受诸如对数据的依赖日益增强以及组织内部和组织之间技术融合等发展的影响。</w:t>
      </w:r>
    </w:p>
    <w:p w14:paraId="267B7913">
      <w:pPr>
        <w:keepNext/>
        <w:spacing w:before="60" w:after="0"/>
        <w:jc w:val="both"/>
      </w:pPr>
      <w:r>
        <w:rPr>
          <w:rFonts w:ascii="Times New Roman" w:hAnsi="Times New Roman" w:eastAsia="宋体"/>
          <w:b w:val="0"/>
          <w:i w:val="0"/>
          <w:color w:val="000000"/>
          <w:sz w:val="21"/>
        </w:rPr>
        <w:t>Improvement activities can involve adapting processes, knowledge and resources in response to internal and external changes.</w:t>
      </w:r>
    </w:p>
    <w:p w14:paraId="7CBA99DA">
      <w:pPr>
        <w:spacing w:before="0" w:after="100"/>
        <w:jc w:val="both"/>
      </w:pPr>
      <w:r>
        <w:rPr>
          <w:rFonts w:ascii="Times New Roman" w:hAnsi="Times New Roman" w:eastAsia="宋体"/>
          <w:b w:val="0"/>
          <w:i w:val="0"/>
          <w:color w:val="000000"/>
          <w:sz w:val="21"/>
        </w:rPr>
        <w:t>改进活动可涉及对过程、知识和资源进行调整，以响应内部和外部变化。</w:t>
      </w:r>
    </w:p>
    <w:p w14:paraId="227B6ACA">
      <w:pPr>
        <w:keepNext/>
        <w:spacing w:before="160" w:after="0"/>
        <w:jc w:val="left"/>
      </w:pPr>
      <w:r>
        <w:rPr>
          <w:rFonts w:ascii="Times New Roman" w:hAnsi="Times New Roman" w:eastAsia="宋体"/>
          <w:b/>
          <w:i w:val="0"/>
          <w:color w:val="000000"/>
          <w:sz w:val="21"/>
        </w:rPr>
        <w:t>A.10.2  Nonconformity and corrective action</w:t>
      </w:r>
    </w:p>
    <w:p w14:paraId="3AE8E30F">
      <w:pPr>
        <w:spacing w:before="0" w:after="80"/>
        <w:jc w:val="left"/>
      </w:pPr>
      <w:r>
        <w:rPr>
          <w:rFonts w:ascii="Times New Roman" w:hAnsi="Times New Roman" w:eastAsia="黑体"/>
          <w:b w:val="0"/>
          <w:i w:val="0"/>
          <w:color w:val="000000"/>
          <w:sz w:val="21"/>
        </w:rPr>
        <w:t>A.10.2  不合格和纠正措施</w:t>
      </w:r>
    </w:p>
    <w:p w14:paraId="4D5B0AB2">
      <w:pPr>
        <w:keepNext/>
        <w:spacing w:before="60" w:after="0"/>
        <w:jc w:val="both"/>
      </w:pPr>
      <w:r>
        <w:rPr>
          <w:rFonts w:ascii="Times New Roman" w:hAnsi="Times New Roman" w:eastAsia="宋体"/>
          <w:b w:val="0"/>
          <w:i w:val="0"/>
          <w:color w:val="000000"/>
          <w:sz w:val="21"/>
        </w:rPr>
        <w:t>Requirements for nonconformity and corrective action address how the organization responds to nonconforming outputs and other nonconformities identified within the quality management system.</w:t>
      </w:r>
    </w:p>
    <w:p w14:paraId="482175DB">
      <w:pPr>
        <w:spacing w:before="0" w:after="100"/>
        <w:jc w:val="both"/>
      </w:pPr>
      <w:r>
        <w:rPr>
          <w:rFonts w:ascii="Times New Roman" w:hAnsi="Times New Roman" w:eastAsia="宋体"/>
          <w:b w:val="0"/>
          <w:i w:val="0"/>
          <w:color w:val="000000"/>
          <w:sz w:val="21"/>
        </w:rPr>
        <w:t>有关不合格和纠正措施的要求，涉及组织如何应对不合格输出以及在质量管理体系内识别的其他不合格。</w:t>
      </w:r>
    </w:p>
    <w:p w14:paraId="4FB50CDF">
      <w:pPr>
        <w:keepNext/>
        <w:spacing w:before="60" w:after="0"/>
        <w:jc w:val="both"/>
      </w:pPr>
      <w:r>
        <w:rPr>
          <w:rFonts w:ascii="Times New Roman" w:hAnsi="Times New Roman" w:eastAsia="宋体"/>
          <w:b w:val="0"/>
          <w:i w:val="0"/>
          <w:color w:val="000000"/>
          <w:sz w:val="21"/>
        </w:rPr>
        <w:t>The organization determines the approach to address nonconformities, including the extent of investigation and the methods used, based on its context and needs.</w:t>
      </w:r>
    </w:p>
    <w:p w14:paraId="6CA51CA0">
      <w:pPr>
        <w:spacing w:before="0" w:after="100"/>
        <w:jc w:val="both"/>
      </w:pPr>
      <w:r>
        <w:rPr>
          <w:rFonts w:ascii="Times New Roman" w:hAnsi="Times New Roman" w:eastAsia="宋体"/>
          <w:b w:val="0"/>
          <w:i w:val="0"/>
          <w:color w:val="000000"/>
          <w:sz w:val="21"/>
        </w:rPr>
        <w:t>组织基于其环境和需求，确定应对不合格的方法，包括调查的范围和所采用的方法。</w:t>
      </w:r>
    </w:p>
    <w:p w14:paraId="659BD96A">
      <w:pPr>
        <w:keepNext/>
        <w:spacing w:before="60" w:after="0"/>
        <w:jc w:val="both"/>
      </w:pPr>
      <w:r>
        <w:rPr>
          <w:rFonts w:ascii="Times New Roman" w:hAnsi="Times New Roman" w:eastAsia="宋体"/>
          <w:b w:val="0"/>
          <w:i w:val="0"/>
          <w:color w:val="000000"/>
          <w:sz w:val="21"/>
        </w:rPr>
        <w:t>The organization considers risk of recurrence, potential or actual impact, and requirements of customers and other relevant interested parties when deciding if corrective action will be applied.</w:t>
      </w:r>
    </w:p>
    <w:p w14:paraId="6F9F1053">
      <w:pPr>
        <w:spacing w:before="0" w:after="100"/>
        <w:jc w:val="both"/>
      </w:pPr>
      <w:r>
        <w:rPr>
          <w:rFonts w:ascii="Times New Roman" w:hAnsi="Times New Roman" w:eastAsia="宋体"/>
          <w:b w:val="0"/>
          <w:i w:val="0"/>
          <w:color w:val="000000"/>
          <w:sz w:val="21"/>
        </w:rPr>
        <w:t>在决定是否采取纠正措施时，组织考虑再发生的风险、潜在或实际的影响，以及顾客和其他相关方的要求。</w:t>
      </w:r>
    </w:p>
    <w:p w14:paraId="6DD3925B">
      <w:pPr>
        <w:keepNext/>
        <w:spacing w:before="20" w:after="0"/>
        <w:ind w:left="227"/>
        <w:jc w:val="both"/>
      </w:pPr>
      <w:r>
        <w:rPr>
          <w:rFonts w:ascii="Times New Roman" w:hAnsi="Times New Roman" w:eastAsia="宋体"/>
          <w:b w:val="0"/>
          <w:i/>
          <w:color w:val="000000"/>
          <w:sz w:val="20"/>
        </w:rPr>
        <w:t>NOTE — See ISO 10002 for guidance on complaints handling.</w:t>
      </w:r>
    </w:p>
    <w:p w14:paraId="09BC8FA4">
      <w:pPr>
        <w:spacing w:before="0" w:after="100"/>
        <w:ind w:left="227"/>
        <w:jc w:val="both"/>
      </w:pPr>
      <w:r>
        <w:rPr>
          <w:rFonts w:ascii="Times New Roman" w:hAnsi="Times New Roman" w:eastAsia="宋体"/>
          <w:b w:val="0"/>
          <w:i w:val="0"/>
          <w:color w:val="000000"/>
          <w:sz w:val="20"/>
        </w:rPr>
        <w:t>注：投诉处理指南见ISO 10002。</w:t>
      </w:r>
    </w:p>
    <w:p w14:paraId="57B55934">
      <w:r>
        <w:br w:type="page"/>
      </w:r>
    </w:p>
    <w:p w14:paraId="461A0C60">
      <w:pPr>
        <w:keepNext/>
        <w:spacing w:before="320" w:after="0"/>
        <w:jc w:val="left"/>
      </w:pPr>
      <w:r>
        <w:rPr>
          <w:rFonts w:ascii="Times New Roman" w:hAnsi="Times New Roman" w:eastAsia="宋体"/>
          <w:b/>
          <w:i w:val="0"/>
          <w:color w:val="000000"/>
          <w:sz w:val="28"/>
        </w:rPr>
        <w:t>Bibliography</w:t>
      </w:r>
    </w:p>
    <w:p w14:paraId="4E20152A">
      <w:pPr>
        <w:pBdr>
          <w:bottom w:val="single" w:color="C01E2E" w:sz="8" w:space="2"/>
        </w:pBdr>
        <w:spacing w:before="0" w:after="100"/>
        <w:jc w:val="left"/>
      </w:pPr>
      <w:r>
        <w:rPr>
          <w:rFonts w:ascii="Times New Roman" w:hAnsi="Times New Roman" w:eastAsia="黑体"/>
          <w:b w:val="0"/>
          <w:i w:val="0"/>
          <w:color w:val="000000"/>
          <w:sz w:val="28"/>
        </w:rPr>
        <w:t>文献目录</w:t>
      </w:r>
    </w:p>
    <w:p w14:paraId="0F0CD8CD">
      <w:pPr>
        <w:keepNext/>
        <w:spacing w:before="40" w:after="0"/>
        <w:ind w:left="510" w:hanging="510"/>
      </w:pPr>
      <w:r>
        <w:rPr>
          <w:rFonts w:ascii="Times New Roman" w:hAnsi="Times New Roman" w:eastAsia="宋体"/>
          <w:b w:val="0"/>
          <w:i w:val="0"/>
          <w:color w:val="000000"/>
          <w:sz w:val="19"/>
        </w:rPr>
        <w:t>[1] ISO 9002, Quality management systems — Guidelines for the application of ISO 9001</w:t>
      </w:r>
    </w:p>
    <w:p w14:paraId="2125DC14">
      <w:pPr>
        <w:spacing w:before="0" w:after="80"/>
        <w:ind w:left="510"/>
      </w:pPr>
      <w:r>
        <w:rPr>
          <w:rFonts w:ascii="Times New Roman" w:hAnsi="Times New Roman" w:eastAsia="宋体"/>
          <w:b w:val="0"/>
          <w:i w:val="0"/>
          <w:color w:val="1F1F1F"/>
          <w:sz w:val="19"/>
        </w:rPr>
        <w:t>ISO 9002《质量管理体系 ISO 9001应用指南》</w:t>
      </w:r>
    </w:p>
    <w:p w14:paraId="7BBE630F">
      <w:pPr>
        <w:keepNext/>
        <w:spacing w:before="40" w:after="0"/>
        <w:ind w:left="510" w:hanging="510"/>
      </w:pPr>
      <w:r>
        <w:rPr>
          <w:rFonts w:ascii="Times New Roman" w:hAnsi="Times New Roman" w:eastAsia="宋体"/>
          <w:b w:val="0"/>
          <w:i w:val="0"/>
          <w:color w:val="000000"/>
          <w:sz w:val="19"/>
        </w:rPr>
        <w:t>[2] ISO 9000, Quality management — Fundamentals and vocabulary</w:t>
      </w:r>
    </w:p>
    <w:p w14:paraId="7971131E">
      <w:pPr>
        <w:spacing w:before="0" w:after="80"/>
        <w:ind w:left="510"/>
      </w:pPr>
      <w:r>
        <w:rPr>
          <w:rFonts w:ascii="Times New Roman" w:hAnsi="Times New Roman" w:eastAsia="宋体"/>
          <w:b w:val="0"/>
          <w:i w:val="0"/>
          <w:color w:val="1F1F1F"/>
          <w:sz w:val="19"/>
        </w:rPr>
        <w:t>ISO 9000《质量管理 基础和词汇》</w:t>
      </w:r>
    </w:p>
    <w:p w14:paraId="49AB9A87">
      <w:pPr>
        <w:keepNext/>
        <w:spacing w:before="40" w:after="0"/>
        <w:ind w:left="510" w:hanging="510"/>
      </w:pPr>
      <w:r>
        <w:rPr>
          <w:rFonts w:ascii="Times New Roman" w:hAnsi="Times New Roman" w:eastAsia="宋体"/>
          <w:b w:val="0"/>
          <w:i w:val="0"/>
          <w:color w:val="000000"/>
          <w:sz w:val="19"/>
        </w:rPr>
        <w:t>[3] ISO 9004, Quality management — Quality of an organization — Guidance to achieve sustained success</w:t>
      </w:r>
    </w:p>
    <w:p w14:paraId="3B1ACB30">
      <w:pPr>
        <w:spacing w:before="0" w:after="80"/>
        <w:ind w:left="510"/>
      </w:pPr>
      <w:r>
        <w:rPr>
          <w:rFonts w:ascii="Times New Roman" w:hAnsi="Times New Roman" w:eastAsia="宋体"/>
          <w:b w:val="0"/>
          <w:i w:val="0"/>
          <w:color w:val="1F1F1F"/>
          <w:sz w:val="19"/>
        </w:rPr>
        <w:t>ISO 9004《质量管理 组织的质量 实现持续成功指南》</w:t>
      </w:r>
    </w:p>
    <w:p w14:paraId="2D5F1FB5">
      <w:pPr>
        <w:keepNext/>
        <w:spacing w:before="40" w:after="0"/>
        <w:ind w:left="510" w:hanging="510"/>
      </w:pPr>
      <w:r>
        <w:rPr>
          <w:rFonts w:ascii="Times New Roman" w:hAnsi="Times New Roman" w:eastAsia="宋体"/>
          <w:b w:val="0"/>
          <w:i w:val="0"/>
          <w:color w:val="000000"/>
          <w:sz w:val="19"/>
        </w:rPr>
        <w:t>[4] ISO 19011, Guidelines for auditing management systems</w:t>
      </w:r>
    </w:p>
    <w:p w14:paraId="3E0751FF">
      <w:pPr>
        <w:spacing w:before="0" w:after="80"/>
        <w:ind w:left="510"/>
      </w:pPr>
      <w:r>
        <w:rPr>
          <w:rFonts w:ascii="Times New Roman" w:hAnsi="Times New Roman" w:eastAsia="宋体"/>
          <w:b w:val="0"/>
          <w:i w:val="0"/>
          <w:color w:val="1F1F1F"/>
          <w:sz w:val="19"/>
        </w:rPr>
        <w:t>ISO 19011《管理体系审核指南》</w:t>
      </w:r>
    </w:p>
    <w:p w14:paraId="6D92955F">
      <w:pPr>
        <w:keepNext/>
        <w:spacing w:before="40" w:after="0"/>
        <w:ind w:left="510" w:hanging="510"/>
      </w:pPr>
      <w:r>
        <w:rPr>
          <w:rFonts w:ascii="Times New Roman" w:hAnsi="Times New Roman" w:eastAsia="宋体"/>
          <w:b w:val="0"/>
          <w:i w:val="0"/>
          <w:color w:val="000000"/>
          <w:sz w:val="19"/>
        </w:rPr>
        <w:t>[5] ISO 3534-2:2006, Statistics — Vocabulary and symbols — Part 2: Applied statistics</w:t>
      </w:r>
    </w:p>
    <w:p w14:paraId="035D51EE">
      <w:pPr>
        <w:spacing w:before="0" w:after="80"/>
        <w:ind w:left="510"/>
      </w:pPr>
      <w:r>
        <w:rPr>
          <w:rFonts w:ascii="Times New Roman" w:hAnsi="Times New Roman" w:eastAsia="宋体"/>
          <w:b w:val="0"/>
          <w:i w:val="0"/>
          <w:color w:val="1F1F1F"/>
          <w:sz w:val="19"/>
        </w:rPr>
        <w:t>ISO 3534-2:2006《统计学 词汇和符号 第2部分：应用统计》</w:t>
      </w:r>
    </w:p>
    <w:p w14:paraId="4567EAA4">
      <w:pPr>
        <w:keepNext/>
        <w:spacing w:before="40" w:after="0"/>
        <w:ind w:left="510" w:hanging="510"/>
      </w:pPr>
      <w:r>
        <w:rPr>
          <w:rFonts w:ascii="Times New Roman" w:hAnsi="Times New Roman" w:eastAsia="宋体"/>
          <w:b w:val="0"/>
          <w:i w:val="0"/>
          <w:color w:val="000000"/>
          <w:sz w:val="19"/>
        </w:rPr>
        <w:t>[6] ISO 9001 Handbook for small enterprises. Geneva: ISO</w:t>
      </w:r>
    </w:p>
    <w:p w14:paraId="08B33221">
      <w:pPr>
        <w:spacing w:before="0" w:after="80"/>
        <w:ind w:left="510"/>
      </w:pPr>
      <w:r>
        <w:rPr>
          <w:rFonts w:ascii="Times New Roman" w:hAnsi="Times New Roman" w:eastAsia="宋体"/>
          <w:b w:val="0"/>
          <w:i w:val="0"/>
          <w:color w:val="1F1F1F"/>
          <w:sz w:val="19"/>
        </w:rPr>
        <w:t>《ISO 9001小型企业手册》。日内瓦：ISO</w:t>
      </w:r>
    </w:p>
    <w:p w14:paraId="6AC3CA28">
      <w:pPr>
        <w:keepNext/>
        <w:spacing w:before="40" w:after="0"/>
        <w:ind w:left="510" w:hanging="510"/>
      </w:pPr>
      <w:r>
        <w:rPr>
          <w:rFonts w:ascii="Times New Roman" w:hAnsi="Times New Roman" w:eastAsia="宋体"/>
          <w:b w:val="0"/>
          <w:i w:val="0"/>
          <w:color w:val="000000"/>
          <w:sz w:val="19"/>
        </w:rPr>
        <w:t>[7] ISO 10013, Quality management systems — Guidance for documented information</w:t>
      </w:r>
    </w:p>
    <w:p w14:paraId="696F106C">
      <w:pPr>
        <w:spacing w:before="0" w:after="80"/>
        <w:ind w:left="510"/>
      </w:pPr>
      <w:r>
        <w:rPr>
          <w:rFonts w:ascii="Times New Roman" w:hAnsi="Times New Roman" w:eastAsia="宋体"/>
          <w:b w:val="0"/>
          <w:i w:val="0"/>
          <w:color w:val="1F1F1F"/>
          <w:sz w:val="19"/>
        </w:rPr>
        <w:t>ISO 10013《质量管理体系 成文信息指南》</w:t>
      </w:r>
    </w:p>
    <w:p w14:paraId="1B60B7F8">
      <w:pPr>
        <w:keepNext/>
        <w:spacing w:before="40" w:after="0"/>
        <w:ind w:left="510" w:hanging="510"/>
      </w:pPr>
      <w:r>
        <w:rPr>
          <w:rFonts w:ascii="Times New Roman" w:hAnsi="Times New Roman" w:eastAsia="宋体"/>
          <w:b w:val="0"/>
          <w:i w:val="0"/>
          <w:color w:val="000000"/>
          <w:sz w:val="19"/>
        </w:rPr>
        <w:t>[8] ISO 9000 Glossary: Guidance on selected words used in the ISO 9000 family of standards. Geneva: ISO, 2025</w:t>
      </w:r>
    </w:p>
    <w:p w14:paraId="1DD88A0F">
      <w:pPr>
        <w:spacing w:before="0" w:after="80"/>
        <w:ind w:left="510"/>
      </w:pPr>
      <w:r>
        <w:rPr>
          <w:rFonts w:ascii="Times New Roman" w:hAnsi="Times New Roman" w:eastAsia="宋体"/>
          <w:b w:val="0"/>
          <w:i w:val="0"/>
          <w:color w:val="1F1F1F"/>
          <w:sz w:val="19"/>
        </w:rPr>
        <w:t>《ISO 9000词汇：ISO 9000族标准选用词语指南》。日内瓦：ISO，2025</w:t>
      </w:r>
    </w:p>
    <w:p w14:paraId="53FC8BD7">
      <w:pPr>
        <w:keepNext/>
        <w:spacing w:before="40" w:after="0"/>
        <w:ind w:left="510" w:hanging="510"/>
      </w:pPr>
      <w:r>
        <w:rPr>
          <w:rFonts w:ascii="Times New Roman" w:hAnsi="Times New Roman" w:eastAsia="宋体"/>
          <w:b w:val="0"/>
          <w:i w:val="0"/>
          <w:color w:val="000000"/>
          <w:sz w:val="19"/>
        </w:rPr>
        <w:t>[9] ISO 10010, Quality management — Guidance to understand, evaluate and improve organizational quality culture</w:t>
      </w:r>
    </w:p>
    <w:p w14:paraId="43C9E9F0">
      <w:pPr>
        <w:spacing w:before="0" w:after="80"/>
        <w:ind w:left="510"/>
      </w:pPr>
      <w:r>
        <w:rPr>
          <w:rFonts w:ascii="Times New Roman" w:hAnsi="Times New Roman" w:eastAsia="宋体"/>
          <w:b w:val="0"/>
          <w:i w:val="0"/>
          <w:color w:val="1F1F1F"/>
          <w:sz w:val="19"/>
        </w:rPr>
        <w:t>ISO 10010《质量管理 理解、评价和改进组织的质量文化指南》</w:t>
      </w:r>
    </w:p>
    <w:p w14:paraId="48257913">
      <w:pPr>
        <w:keepNext/>
        <w:spacing w:before="40" w:after="0"/>
        <w:ind w:left="510" w:hanging="510"/>
      </w:pPr>
      <w:r>
        <w:rPr>
          <w:rFonts w:ascii="Times New Roman" w:hAnsi="Times New Roman" w:eastAsia="宋体"/>
          <w:b w:val="0"/>
          <w:i w:val="0"/>
          <w:color w:val="000000"/>
          <w:sz w:val="19"/>
        </w:rPr>
        <w:t>[10] ISO 31000, Risk management — Guidelines</w:t>
      </w:r>
    </w:p>
    <w:p w14:paraId="7B377861">
      <w:pPr>
        <w:spacing w:before="0" w:after="80"/>
        <w:ind w:left="510"/>
      </w:pPr>
      <w:r>
        <w:rPr>
          <w:rFonts w:ascii="Times New Roman" w:hAnsi="Times New Roman" w:eastAsia="宋体"/>
          <w:b w:val="0"/>
          <w:i w:val="0"/>
          <w:color w:val="1F1F1F"/>
          <w:sz w:val="19"/>
        </w:rPr>
        <w:t>ISO 31000《风险管理 指南》</w:t>
      </w:r>
    </w:p>
    <w:p w14:paraId="1041991B">
      <w:pPr>
        <w:keepNext/>
        <w:spacing w:before="40" w:after="0"/>
        <w:ind w:left="510" w:hanging="510"/>
      </w:pPr>
      <w:r>
        <w:rPr>
          <w:rFonts w:ascii="Times New Roman" w:hAnsi="Times New Roman" w:eastAsia="宋体"/>
          <w:b w:val="0"/>
          <w:i w:val="0"/>
          <w:color w:val="000000"/>
          <w:sz w:val="19"/>
        </w:rPr>
        <w:t>[11] ISO/TS 10020, Quality management systems — Organizational change management — Processes</w:t>
      </w:r>
    </w:p>
    <w:p w14:paraId="5B8033AC">
      <w:pPr>
        <w:spacing w:before="0" w:after="80"/>
        <w:ind w:left="510"/>
      </w:pPr>
      <w:r>
        <w:rPr>
          <w:rFonts w:ascii="Times New Roman" w:hAnsi="Times New Roman" w:eastAsia="宋体"/>
          <w:b w:val="0"/>
          <w:i w:val="0"/>
          <w:color w:val="1F1F1F"/>
          <w:sz w:val="19"/>
        </w:rPr>
        <w:t>ISO/TS 10020《质量管理体系 组织变革管理 过程》</w:t>
      </w:r>
    </w:p>
    <w:p w14:paraId="4D39DF6D">
      <w:pPr>
        <w:keepNext/>
        <w:spacing w:before="40" w:after="0"/>
        <w:ind w:left="510" w:hanging="510"/>
      </w:pPr>
      <w:r>
        <w:rPr>
          <w:rFonts w:ascii="Times New Roman" w:hAnsi="Times New Roman" w:eastAsia="宋体"/>
          <w:b w:val="0"/>
          <w:i w:val="0"/>
          <w:color w:val="000000"/>
          <w:sz w:val="19"/>
        </w:rPr>
        <w:t>[12] ISO 30201, Human resources management systems — Requirements</w:t>
      </w:r>
    </w:p>
    <w:p w14:paraId="4E1AAC88">
      <w:pPr>
        <w:spacing w:before="0" w:after="80"/>
        <w:ind w:left="510"/>
      </w:pPr>
      <w:r>
        <w:rPr>
          <w:rFonts w:ascii="Times New Roman" w:hAnsi="Times New Roman" w:eastAsia="宋体"/>
          <w:b w:val="0"/>
          <w:i w:val="0"/>
          <w:color w:val="1F1F1F"/>
          <w:sz w:val="19"/>
        </w:rPr>
        <w:t>ISO 30201《人力资源管理体系 要求》</w:t>
      </w:r>
    </w:p>
    <w:p w14:paraId="0DD545E2">
      <w:pPr>
        <w:keepNext/>
        <w:spacing w:before="40" w:after="0"/>
        <w:ind w:left="510" w:hanging="510"/>
      </w:pPr>
      <w:r>
        <w:rPr>
          <w:rFonts w:ascii="Times New Roman" w:hAnsi="Times New Roman" w:eastAsia="宋体"/>
          <w:b w:val="0"/>
          <w:i w:val="0"/>
          <w:color w:val="000000"/>
          <w:sz w:val="19"/>
        </w:rPr>
        <w:t>[13] ISO 10012, Quality management — Requirements for measurement management systems</w:t>
      </w:r>
    </w:p>
    <w:p w14:paraId="1EF4FC06">
      <w:pPr>
        <w:spacing w:before="0" w:after="80"/>
        <w:ind w:left="510"/>
      </w:pPr>
      <w:r>
        <w:rPr>
          <w:rFonts w:ascii="Times New Roman" w:hAnsi="Times New Roman" w:eastAsia="宋体"/>
          <w:b w:val="0"/>
          <w:i w:val="0"/>
          <w:color w:val="1F1F1F"/>
          <w:sz w:val="19"/>
        </w:rPr>
        <w:t>ISO 10012《质量管理 测量管理体系要求》</w:t>
      </w:r>
    </w:p>
    <w:p w14:paraId="52BE6B95">
      <w:pPr>
        <w:keepNext/>
        <w:spacing w:before="40" w:after="0"/>
        <w:ind w:left="510" w:hanging="510"/>
      </w:pPr>
      <w:r>
        <w:rPr>
          <w:rFonts w:ascii="Times New Roman" w:hAnsi="Times New Roman" w:eastAsia="宋体"/>
          <w:b w:val="0"/>
          <w:i w:val="0"/>
          <w:color w:val="000000"/>
          <w:sz w:val="19"/>
        </w:rPr>
        <w:t>[14] ISO 30401, Knowledge management systems — Requirements</w:t>
      </w:r>
    </w:p>
    <w:p w14:paraId="0FF9C055">
      <w:pPr>
        <w:spacing w:before="0" w:after="80"/>
        <w:ind w:left="510"/>
      </w:pPr>
      <w:r>
        <w:rPr>
          <w:rFonts w:ascii="Times New Roman" w:hAnsi="Times New Roman" w:eastAsia="宋体"/>
          <w:b w:val="0"/>
          <w:i w:val="0"/>
          <w:color w:val="1F1F1F"/>
          <w:sz w:val="19"/>
        </w:rPr>
        <w:t>ISO 30401《知识管理体系 要求》</w:t>
      </w:r>
    </w:p>
    <w:p w14:paraId="2CC50214">
      <w:pPr>
        <w:keepNext/>
        <w:spacing w:before="40" w:after="0"/>
        <w:ind w:left="510" w:hanging="510"/>
      </w:pPr>
      <w:r>
        <w:rPr>
          <w:rFonts w:ascii="Times New Roman" w:hAnsi="Times New Roman" w:eastAsia="宋体"/>
          <w:b w:val="0"/>
          <w:i w:val="0"/>
          <w:color w:val="000000"/>
          <w:sz w:val="19"/>
        </w:rPr>
        <w:t>[15] ISO 10015, Quality management — Guidelines for competence management and people development</w:t>
      </w:r>
    </w:p>
    <w:p w14:paraId="26CE1B69">
      <w:pPr>
        <w:spacing w:before="0" w:after="80"/>
        <w:ind w:left="510"/>
      </w:pPr>
      <w:r>
        <w:rPr>
          <w:rFonts w:ascii="Times New Roman" w:hAnsi="Times New Roman" w:eastAsia="宋体"/>
          <w:b w:val="0"/>
          <w:i w:val="0"/>
          <w:color w:val="1F1F1F"/>
          <w:sz w:val="19"/>
        </w:rPr>
        <w:t>ISO 10015《质量管理 能力管理和人员发展指南》</w:t>
      </w:r>
    </w:p>
    <w:p w14:paraId="16A4D324">
      <w:pPr>
        <w:keepNext/>
        <w:spacing w:before="40" w:after="0"/>
        <w:ind w:left="510" w:hanging="510"/>
      </w:pPr>
      <w:r>
        <w:rPr>
          <w:rFonts w:ascii="Times New Roman" w:hAnsi="Times New Roman" w:eastAsia="宋体"/>
          <w:b w:val="0"/>
          <w:i w:val="0"/>
          <w:color w:val="000000"/>
          <w:sz w:val="19"/>
        </w:rPr>
        <w:t>[16] ISO 10018, Quality management — Guidance for people engagement</w:t>
      </w:r>
    </w:p>
    <w:p w14:paraId="108A9108">
      <w:pPr>
        <w:spacing w:before="0" w:after="80"/>
        <w:ind w:left="510"/>
      </w:pPr>
      <w:r>
        <w:rPr>
          <w:rFonts w:ascii="Times New Roman" w:hAnsi="Times New Roman" w:eastAsia="宋体"/>
          <w:b w:val="0"/>
          <w:i w:val="0"/>
          <w:color w:val="1F1F1F"/>
          <w:sz w:val="19"/>
        </w:rPr>
        <w:t>ISO 10018《质量管理 人员积极参与指南》</w:t>
      </w:r>
    </w:p>
    <w:p w14:paraId="544F600B">
      <w:pPr>
        <w:keepNext/>
        <w:spacing w:before="40" w:after="0"/>
        <w:ind w:left="510" w:hanging="510"/>
      </w:pPr>
      <w:r>
        <w:rPr>
          <w:rFonts w:ascii="Times New Roman" w:hAnsi="Times New Roman" w:eastAsia="宋体"/>
          <w:b w:val="0"/>
          <w:i w:val="0"/>
          <w:color w:val="000000"/>
          <w:sz w:val="19"/>
        </w:rPr>
        <w:t>[17] ISO 10005, Quality management — Guidelines for quality plans</w:t>
      </w:r>
    </w:p>
    <w:p w14:paraId="0F80E131">
      <w:pPr>
        <w:spacing w:before="0" w:after="80"/>
        <w:ind w:left="510"/>
      </w:pPr>
      <w:r>
        <w:rPr>
          <w:rFonts w:ascii="Times New Roman" w:hAnsi="Times New Roman" w:eastAsia="宋体"/>
          <w:b w:val="0"/>
          <w:i w:val="0"/>
          <w:color w:val="1F1F1F"/>
          <w:sz w:val="19"/>
        </w:rPr>
        <w:t>ISO 10005《质量管理 质量计划指南》</w:t>
      </w:r>
    </w:p>
    <w:p w14:paraId="10ABDF55">
      <w:pPr>
        <w:keepNext/>
        <w:spacing w:before="40" w:after="0"/>
        <w:ind w:left="510" w:hanging="510"/>
      </w:pPr>
      <w:r>
        <w:rPr>
          <w:rFonts w:ascii="Times New Roman" w:hAnsi="Times New Roman" w:eastAsia="宋体"/>
          <w:b w:val="0"/>
          <w:i w:val="0"/>
          <w:color w:val="000000"/>
          <w:sz w:val="19"/>
        </w:rPr>
        <w:t>[18] ISO 10007, Quality management — Guidelines for configuration management</w:t>
      </w:r>
    </w:p>
    <w:p w14:paraId="2E536ED9">
      <w:pPr>
        <w:spacing w:before="0" w:after="80"/>
        <w:ind w:left="510"/>
      </w:pPr>
      <w:r>
        <w:rPr>
          <w:rFonts w:ascii="Times New Roman" w:hAnsi="Times New Roman" w:eastAsia="宋体"/>
          <w:b w:val="0"/>
          <w:i w:val="0"/>
          <w:color w:val="1F1F1F"/>
          <w:sz w:val="19"/>
        </w:rPr>
        <w:t>ISO 10007《质量管理 配置管理指南》</w:t>
      </w:r>
    </w:p>
    <w:p w14:paraId="6B3DCA08">
      <w:pPr>
        <w:keepNext/>
        <w:spacing w:before="40" w:after="0"/>
        <w:ind w:left="510" w:hanging="510"/>
      </w:pPr>
      <w:r>
        <w:rPr>
          <w:rFonts w:ascii="Times New Roman" w:hAnsi="Times New Roman" w:eastAsia="宋体"/>
          <w:b w:val="0"/>
          <w:i w:val="0"/>
          <w:color w:val="000000"/>
          <w:sz w:val="19"/>
        </w:rPr>
        <w:t>[19] ISO 10001, Quality management — Customer satisfaction — Guidelines for codes of conduct for organizations</w:t>
      </w:r>
    </w:p>
    <w:p w14:paraId="50CD10A6">
      <w:pPr>
        <w:spacing w:before="0" w:after="80"/>
        <w:ind w:left="510"/>
      </w:pPr>
      <w:r>
        <w:rPr>
          <w:rFonts w:ascii="Times New Roman" w:hAnsi="Times New Roman" w:eastAsia="宋体"/>
          <w:b w:val="0"/>
          <w:i w:val="0"/>
          <w:color w:val="1F1F1F"/>
          <w:sz w:val="19"/>
        </w:rPr>
        <w:t>ISO 10001《质量管理 顾客满意 组织行为准则指南》</w:t>
      </w:r>
    </w:p>
    <w:p w14:paraId="56D04AEA">
      <w:pPr>
        <w:keepNext/>
        <w:spacing w:before="40" w:after="0"/>
        <w:ind w:left="510" w:hanging="510"/>
      </w:pPr>
      <w:r>
        <w:rPr>
          <w:rFonts w:ascii="Times New Roman" w:hAnsi="Times New Roman" w:eastAsia="宋体"/>
          <w:b w:val="0"/>
          <w:i w:val="0"/>
          <w:color w:val="000000"/>
          <w:sz w:val="19"/>
        </w:rPr>
        <w:t>[20] ISO 10002, Quality management — Customer satisfaction — Guidelines for complaints handling in organizations</w:t>
      </w:r>
    </w:p>
    <w:p w14:paraId="0C9E62A5">
      <w:pPr>
        <w:spacing w:before="0" w:after="80"/>
        <w:ind w:left="510"/>
      </w:pPr>
      <w:r>
        <w:rPr>
          <w:rFonts w:ascii="Times New Roman" w:hAnsi="Times New Roman" w:eastAsia="宋体"/>
          <w:b w:val="0"/>
          <w:i w:val="0"/>
          <w:color w:val="1F1F1F"/>
          <w:sz w:val="19"/>
        </w:rPr>
        <w:t>ISO 10002《质量管理 顾客满意 组织内投诉处理指南》</w:t>
      </w:r>
    </w:p>
    <w:p w14:paraId="30D1F675">
      <w:pPr>
        <w:keepNext/>
        <w:spacing w:before="40" w:after="0"/>
        <w:ind w:left="510" w:hanging="510"/>
      </w:pPr>
      <w:r>
        <w:rPr>
          <w:rFonts w:ascii="Times New Roman" w:hAnsi="Times New Roman" w:eastAsia="宋体"/>
          <w:b w:val="0"/>
          <w:i w:val="0"/>
          <w:color w:val="000000"/>
          <w:sz w:val="19"/>
        </w:rPr>
        <w:t>[21] ISO 37500, Guidance on outsourcing</w:t>
      </w:r>
    </w:p>
    <w:p w14:paraId="1D291A1E">
      <w:pPr>
        <w:spacing w:before="0" w:after="80"/>
        <w:ind w:left="510"/>
      </w:pPr>
      <w:r>
        <w:rPr>
          <w:rFonts w:ascii="Times New Roman" w:hAnsi="Times New Roman" w:eastAsia="宋体"/>
          <w:b w:val="0"/>
          <w:i w:val="0"/>
          <w:color w:val="1F1F1F"/>
          <w:sz w:val="19"/>
        </w:rPr>
        <w:t>ISO 37500《外包指南》</w:t>
      </w:r>
    </w:p>
    <w:p w14:paraId="6971CB28">
      <w:pPr>
        <w:keepNext/>
        <w:spacing w:before="40" w:after="0"/>
        <w:ind w:left="510" w:hanging="510"/>
      </w:pPr>
      <w:r>
        <w:rPr>
          <w:rFonts w:ascii="Times New Roman" w:hAnsi="Times New Roman" w:eastAsia="宋体"/>
          <w:b w:val="0"/>
          <w:i w:val="0"/>
          <w:color w:val="000000"/>
          <w:sz w:val="19"/>
        </w:rPr>
        <w:t>[22] ISO 10004, Quality management — Customer satisfaction — Guidelines for monitoring and measuring</w:t>
      </w:r>
    </w:p>
    <w:p w14:paraId="0539F9FE">
      <w:pPr>
        <w:spacing w:before="0" w:after="80"/>
        <w:ind w:left="510"/>
      </w:pPr>
      <w:r>
        <w:rPr>
          <w:rFonts w:ascii="Times New Roman" w:hAnsi="Times New Roman" w:eastAsia="宋体"/>
          <w:b w:val="0"/>
          <w:i w:val="0"/>
          <w:color w:val="1F1F1F"/>
          <w:sz w:val="19"/>
        </w:rPr>
        <w:t>ISO 10004《质量管理 顾客满意 监视和测量指南》</w:t>
      </w:r>
    </w:p>
    <w:p w14:paraId="2CBE9D93">
      <w:pPr>
        <w:keepNext/>
        <w:spacing w:before="40" w:after="0"/>
        <w:ind w:left="510" w:hanging="510"/>
      </w:pPr>
      <w:r>
        <w:rPr>
          <w:rFonts w:ascii="Times New Roman" w:hAnsi="Times New Roman" w:eastAsia="宋体"/>
          <w:b w:val="0"/>
          <w:i w:val="0"/>
          <w:color w:val="000000"/>
          <w:sz w:val="19"/>
        </w:rPr>
        <w:t>[23] ISO 10003, Quality management — Customer satisfaction — Guidelines for dispute resolution external to organizations</w:t>
      </w:r>
    </w:p>
    <w:p w14:paraId="4D0155E9">
      <w:pPr>
        <w:spacing w:before="0" w:after="80"/>
        <w:ind w:left="510"/>
      </w:pPr>
      <w:r>
        <w:rPr>
          <w:rFonts w:ascii="Times New Roman" w:hAnsi="Times New Roman" w:eastAsia="宋体"/>
          <w:b w:val="0"/>
          <w:i w:val="0"/>
          <w:color w:val="1F1F1F"/>
          <w:sz w:val="19"/>
        </w:rPr>
        <w:t>ISO 10003《质量管理 顾客满意 组织外部争议解决指南》</w:t>
      </w:r>
    </w:p>
    <w:p w14:paraId="3DB9FD40">
      <w:pPr>
        <w:keepNext/>
        <w:spacing w:before="40" w:after="0"/>
        <w:ind w:left="510" w:hanging="510"/>
      </w:pPr>
      <w:r>
        <w:rPr>
          <w:rFonts w:ascii="Times New Roman" w:hAnsi="Times New Roman" w:eastAsia="宋体"/>
          <w:b w:val="0"/>
          <w:i w:val="0"/>
          <w:color w:val="000000"/>
          <w:sz w:val="19"/>
        </w:rPr>
        <w:t>[24] ISO 10009, Quality management — Guidance for quality tools and their application</w:t>
      </w:r>
    </w:p>
    <w:p w14:paraId="7A9AB20C">
      <w:pPr>
        <w:spacing w:before="0" w:after="80"/>
        <w:ind w:left="510"/>
      </w:pPr>
      <w:r>
        <w:rPr>
          <w:rFonts w:ascii="Times New Roman" w:hAnsi="Times New Roman" w:eastAsia="宋体"/>
          <w:b w:val="0"/>
          <w:i w:val="0"/>
          <w:color w:val="1F1F1F"/>
          <w:sz w:val="19"/>
        </w:rPr>
        <w:t>ISO 10009《质量管理 质量工具及其应用指南》</w:t>
      </w:r>
    </w:p>
    <w:p w14:paraId="257B68DF">
      <w:pPr>
        <w:keepNext/>
        <w:spacing w:before="40" w:after="0"/>
        <w:ind w:left="510" w:hanging="510"/>
      </w:pPr>
      <w:r>
        <w:rPr>
          <w:rFonts w:ascii="Times New Roman" w:hAnsi="Times New Roman" w:eastAsia="宋体"/>
          <w:b w:val="0"/>
          <w:i w:val="0"/>
          <w:color w:val="000000"/>
          <w:sz w:val="19"/>
        </w:rPr>
        <w:t>[25] ISO 10017, Quality management — Guidance on statistical techniques for ISO 9001:2015</w:t>
      </w:r>
    </w:p>
    <w:p w14:paraId="4BD8C258">
      <w:pPr>
        <w:spacing w:before="0" w:after="80"/>
        <w:ind w:left="510"/>
      </w:pPr>
      <w:r>
        <w:rPr>
          <w:rFonts w:ascii="Times New Roman" w:hAnsi="Times New Roman" w:eastAsia="宋体"/>
          <w:b w:val="0"/>
          <w:i w:val="0"/>
          <w:color w:val="1F1F1F"/>
          <w:sz w:val="19"/>
        </w:rPr>
        <w:t>ISO 10017《质量管理 ISO 9001:2015统计技术指南》</w:t>
      </w:r>
    </w:p>
    <w:p w14:paraId="7F533A0B">
      <w:pPr>
        <w:keepNext/>
        <w:spacing w:before="40" w:after="0"/>
        <w:ind w:left="510" w:hanging="510"/>
      </w:pPr>
      <w:r>
        <w:rPr>
          <w:rFonts w:ascii="Times New Roman" w:hAnsi="Times New Roman" w:eastAsia="宋体"/>
          <w:b w:val="0"/>
          <w:i w:val="0"/>
          <w:color w:val="000000"/>
          <w:sz w:val="19"/>
        </w:rPr>
        <w:t>[26] ISO/TC 176. ISO 9001 Auditing Practices Group [online]. Viewed 2026-08-07. Available: https://committee.iso.org/home/tc176/iso-9001-auditing-practices-group.html</w:t>
      </w:r>
    </w:p>
    <w:p w14:paraId="39A4D26C">
      <w:pPr>
        <w:spacing w:before="0" w:after="80"/>
        <w:ind w:left="510"/>
        <w:rPr>
          <w:rFonts w:hint="eastAsia" w:eastAsia="宋体"/>
          <w:lang w:eastAsia="zh-CN"/>
        </w:rPr>
      </w:pPr>
      <w:r>
        <w:rPr>
          <w:rFonts w:ascii="Times New Roman" w:hAnsi="Times New Roman" w:eastAsia="宋体"/>
          <w:b w:val="0"/>
          <w:i w:val="0"/>
          <w:color w:val="1F1F1F"/>
          <w:sz w:val="19"/>
        </w:rPr>
        <w:t>ISO/TC 176《ISO 9001审核实践组》［在线］。</w:t>
      </w:r>
    </w:p>
    <w:p w14:paraId="7AF6C1C1">
      <w:pPr>
        <w:spacing w:before="0" w:after="80"/>
        <w:ind w:left="510"/>
        <w:rPr>
          <w:rFonts w:hint="eastAsia" w:eastAsia="宋体"/>
          <w:lang w:eastAsia="zh-CN"/>
        </w:rPr>
      </w:pPr>
      <w:r>
        <w:rPr>
          <w:rFonts w:hint="eastAsia" w:eastAsia="宋体"/>
          <w:lang w:eastAsia="zh-CN"/>
        </w:rPr>
        <w:drawing>
          <wp:inline distT="0" distB="0" distL="114300" distR="114300">
            <wp:extent cx="1714500" cy="2047875"/>
            <wp:effectExtent l="0" t="0" r="0" b="9525"/>
            <wp:docPr id="3" name="图片 3" descr="企业微信-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企业微信-小"/>
                    <pic:cNvPicPr>
                      <a:picLocks noChangeAspect="1"/>
                    </pic:cNvPicPr>
                  </pic:nvPicPr>
                  <pic:blipFill>
                    <a:blip r:embed="rId7"/>
                    <a:stretch>
                      <a:fillRect/>
                    </a:stretch>
                  </pic:blipFill>
                  <pic:spPr>
                    <a:xfrm>
                      <a:off x="0" y="0"/>
                      <a:ext cx="1714500" cy="2047875"/>
                    </a:xfrm>
                    <a:prstGeom prst="rect">
                      <a:avLst/>
                    </a:prstGeom>
                  </pic:spPr>
                </pic:pic>
              </a:graphicData>
            </a:graphic>
          </wp:inline>
        </w:drawing>
      </w:r>
      <w:bookmarkStart w:id="0" w:name="_GoBack"/>
      <w:bookmarkEnd w:id="0"/>
    </w:p>
    <w:sectPr>
      <w:pgSz w:w="11906" w:h="16838"/>
      <w:pgMar w:top="1247" w:right="1247" w:bottom="1134" w:left="1247"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auto"/>
    <w:pitch w:val="default"/>
    <w:sig w:usb0="E00006FF" w:usb1="420024FF" w:usb2="02000000" w:usb3="00000000" w:csb0="2000019F" w:csb1="00000000"/>
  </w:font>
  <w:font w:name="ＭＳ 明朝">
    <w:altName w:val="Yu Gothic"/>
    <w:panose1 w:val="00000000000000000000"/>
    <w:charset w:val="80"/>
    <w:family w:val="roman"/>
    <w:pitch w:val="default"/>
    <w:sig w:usb0="00000000" w:usb1="00000000" w:usb2="00000010" w:usb3="00000000" w:csb0="00020000" w:csb1="00000000"/>
  </w:font>
  <w:font w:name="Yu Gothic">
    <w:panose1 w:val="020B0400000000000000"/>
    <w:charset w:val="80"/>
    <w:family w:val="auto"/>
    <w:pitch w:val="default"/>
    <w:sig w:usb0="E00002FF" w:usb1="2AC7FDFF" w:usb2="00000016" w:usb3="00000000" w:csb0="2002009F" w:csb1="00000000"/>
  </w:font>
  <w:font w:name="ＭＳ 明朝">
    <w:altName w:val="宋体"/>
    <w:panose1 w:val="00000000000000000000"/>
    <w:charset w:val="86"/>
    <w:family w:val="auto"/>
    <w:pitch w:val="default"/>
    <w:sig w:usb0="00000000" w:usb1="00000000" w:usb2="00000000" w:usb3="00000000" w:csb0="00000000" w:csb1="00000000"/>
  </w:font>
  <w:font w:name="MS Gothic">
    <w:panose1 w:val="020B0609070205080204"/>
    <w:charset w:val="80"/>
    <w:family w:val="auto"/>
    <w:pitch w:val="default"/>
    <w:sig w:usb0="E00002FF" w:usb1="6AC7FDFB" w:usb2="08000012" w:usb3="00000000" w:csb0="4002009F" w:csb1="DFD70000"/>
  </w:font>
  <w:font w:name="Courier">
    <w:altName w:val="Courier New"/>
    <w:panose1 w:val="02000500000000000000"/>
    <w:charset w:val="00"/>
    <w:family w:val="auto"/>
    <w:pitch w:val="default"/>
    <w:sig w:usb0="00000000" w:usb1="00000000" w:usb2="00000000" w:usb3="00000000" w:csb0="00000001" w:csb1="00000000"/>
  </w:font>
  <w:font w:name="ＭＳ 明朝">
    <w:altName w:val="FFont-Family"/>
    <w:panose1 w:val="00000000000000000000"/>
    <w:charset w:val="00"/>
    <w:family w:val="auto"/>
    <w:pitch w:val="default"/>
    <w:sig w:usb0="00000000" w:usb1="00000000" w:usb2="00000000" w:usb3="00000000" w:csb0="00000000" w:csb1="00000000"/>
  </w:font>
  <w:font w:name="FFont-Family">
    <w:panose1 w:val="02000509000000000000"/>
    <w:charset w:val="00"/>
    <w:family w:val="auto"/>
    <w:pitch w:val="default"/>
    <w:sig w:usb0="00000001"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7E"/>
    <w:multiLevelType w:val="singleLevel"/>
    <w:tmpl w:val="FFFFFF7E"/>
    <w:lvl w:ilvl="0" w:tentative="0">
      <w:start w:val="1"/>
      <w:numFmt w:val="decimal"/>
      <w:pStyle w:val="20"/>
      <w:lvlText w:val="%1."/>
      <w:lvlJc w:val="left"/>
      <w:pPr>
        <w:tabs>
          <w:tab w:val="left" w:pos="1080"/>
        </w:tabs>
        <w:ind w:left="1080" w:hanging="360"/>
      </w:pPr>
    </w:lvl>
  </w:abstractNum>
  <w:abstractNum w:abstractNumId="1">
    <w:nsid w:val="FFFFFF7F"/>
    <w:multiLevelType w:val="singleLevel"/>
    <w:tmpl w:val="FFFFFF7F"/>
    <w:lvl w:ilvl="0" w:tentative="0">
      <w:start w:val="1"/>
      <w:numFmt w:val="decimal"/>
      <w:pStyle w:val="13"/>
      <w:lvlText w:val="%1."/>
      <w:lvlJc w:val="left"/>
      <w:pPr>
        <w:tabs>
          <w:tab w:val="left" w:pos="720"/>
        </w:tabs>
        <w:ind w:left="720" w:hanging="360"/>
      </w:pPr>
    </w:lvl>
  </w:abstractNum>
  <w:abstractNum w:abstractNumId="2">
    <w:nsid w:val="FFFFFF82"/>
    <w:multiLevelType w:val="singleLevel"/>
    <w:tmpl w:val="FFFFFF82"/>
    <w:lvl w:ilvl="0" w:tentative="0">
      <w:start w:val="1"/>
      <w:numFmt w:val="bullet"/>
      <w:pStyle w:val="18"/>
      <w:lvlText w:val=""/>
      <w:lvlJc w:val="left"/>
      <w:pPr>
        <w:tabs>
          <w:tab w:val="left" w:pos="1080"/>
        </w:tabs>
        <w:ind w:left="1080" w:hanging="360"/>
      </w:pPr>
      <w:rPr>
        <w:rFonts w:hint="default" w:ascii="Symbol" w:hAnsi="Symbol"/>
      </w:rPr>
    </w:lvl>
  </w:abstractNum>
  <w:abstractNum w:abstractNumId="3">
    <w:nsid w:val="FFFFFF83"/>
    <w:multiLevelType w:val="singleLevel"/>
    <w:tmpl w:val="FFFFFF83"/>
    <w:lvl w:ilvl="0" w:tentative="0">
      <w:start w:val="1"/>
      <w:numFmt w:val="bullet"/>
      <w:pStyle w:val="23"/>
      <w:lvlText w:val=""/>
      <w:lvlJc w:val="left"/>
      <w:pPr>
        <w:tabs>
          <w:tab w:val="left" w:pos="720"/>
        </w:tabs>
        <w:ind w:left="720" w:hanging="360"/>
      </w:pPr>
      <w:rPr>
        <w:rFonts w:hint="default" w:ascii="Symbol" w:hAnsi="Symbol"/>
      </w:rPr>
    </w:lvl>
  </w:abstractNum>
  <w:abstractNum w:abstractNumId="4">
    <w:nsid w:val="FFFFFF88"/>
    <w:multiLevelType w:val="singleLevel"/>
    <w:tmpl w:val="FFFFFF88"/>
    <w:lvl w:ilvl="0" w:tentative="0">
      <w:start w:val="1"/>
      <w:numFmt w:val="decimal"/>
      <w:pStyle w:val="14"/>
      <w:lvlText w:val="%1."/>
      <w:lvlJc w:val="left"/>
      <w:pPr>
        <w:tabs>
          <w:tab w:val="left" w:pos="360"/>
        </w:tabs>
        <w:ind w:left="360" w:hanging="360"/>
      </w:pPr>
    </w:lvl>
  </w:abstractNum>
  <w:abstractNum w:abstractNumId="5">
    <w:nsid w:val="FFFFFF89"/>
    <w:multiLevelType w:val="singleLevel"/>
    <w:tmpl w:val="FFFFFF89"/>
    <w:lvl w:ilvl="0" w:tentative="0">
      <w:start w:val="1"/>
      <w:numFmt w:val="bullet"/>
      <w:pStyle w:val="16"/>
      <w:lvlText w:val=""/>
      <w:lvlJc w:val="left"/>
      <w:pPr>
        <w:tabs>
          <w:tab w:val="left" w:pos="360"/>
        </w:tabs>
        <w:ind w:left="360" w:hanging="360"/>
      </w:pPr>
      <w:rPr>
        <w:rFonts w:hint="default" w:ascii="Symbol" w:hAnsi="Symbol"/>
      </w:rPr>
    </w:lvl>
  </w:abstractNum>
  <w:num w:numId="1">
    <w:abstractNumId w:val="1"/>
  </w:num>
  <w:num w:numId="2">
    <w:abstractNumId w:val="4"/>
  </w:num>
  <w:num w:numId="3">
    <w:abstractNumId w:val="5"/>
  </w:num>
  <w:num w:numId="4">
    <w:abstractNumId w:val="2"/>
  </w:num>
  <w:num w:numId="5">
    <w:abstractNumId w:val="0"/>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documentProtection w:enforcement="0"/>
  <w:defaultTabStop w:val="720"/>
  <w:characterSpacingControl w:val="doNotCompress"/>
  <w:footnotePr>
    <w:footnote w:id="0"/>
    <w:footnote w:id="1"/>
  </w:footnotePr>
  <w:endnotePr>
    <w:endnote w:id="0"/>
    <w:endnote w:id="1"/>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 w:val="0B537F9A"/>
    <w:rsid w:val="609406E9"/>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ja-JP"/>
  <w:clrSchemeMapping w:bg1="light1" w:t1="dark1" w:bg2="light2" w:t2="dark2" w:accent1="accent1" w:accent2="accent2" w:accent3="accent3" w:accent4="accent4" w:accent5="accent5" w:accent6="accent6" w:hyperlink="hyperlink" w:followedHyperlink="followedHyperlink"/>
  <w14:defaultImageDpi w14:val="300"/>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qFormat="1" w:uiPriority="99" w:semiHidden="0" w:name="macro"/>
    <w:lsdException w:uiPriority="99" w:name="toa heading"/>
    <w:lsdException w:uiPriority="99" w:semiHidden="0" w:name="List"/>
    <w:lsdException w:uiPriority="99" w:semiHidden="0" w:name="List Bullet"/>
    <w:lsdException w:uiPriority="99" w:semiHidden="0" w:name="List Number"/>
    <w:lsdException w:uiPriority="99" w:semiHidden="0" w:name="List 2"/>
    <w:lsdException w:uiPriority="99" w:semiHidden="0" w:name="List 3"/>
    <w:lsdException w:uiPriority="99" w:name="List 4"/>
    <w:lsdException w:uiPriority="99" w:name="List 5"/>
    <w:lsdException w:uiPriority="99" w:semiHidden="0" w:name="List Bullet 2"/>
    <w:lsdException w:uiPriority="99" w:semiHidden="0" w:name="List Bullet 3"/>
    <w:lsdException w:uiPriority="99" w:name="List Bullet 4"/>
    <w:lsdException w:uiPriority="99" w:name="List Bullet 5"/>
    <w:lsdException w:uiPriority="99" w:semiHidden="0" w:name="List Number 2"/>
    <w:lsdException w:uiPriority="99" w:semiHidden="0"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semiHidden="0" w:name="Body Text"/>
    <w:lsdException w:uiPriority="99" w:name="Body Text Indent"/>
    <w:lsdException w:qFormat="1" w:uiPriority="99" w:semiHidden="0" w:name="List Continue"/>
    <w:lsdException w:uiPriority="99" w:semiHidden="0" w:name="List Continue 2"/>
    <w:lsdException w:uiPriority="99" w:semiHidden="0"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qFormat="1" w:uiPriority="99" w:semiHidden="0" w:name="Body Text 2"/>
    <w:lsdException w:uiPriority="99" w:semiHidden="0"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qFormat="1" w:unhideWhenUsed="0" w:uiPriority="63" w:semiHidden="0" w:name="Medium Shading 1"/>
    <w:lsdException w:qFormat="1" w:unhideWhenUsed="0" w:uiPriority="64" w:semiHidden="0" w:name="Medium Shading 2"/>
    <w:lsdException w:qFormat="1" w:unhideWhenUsed="0" w:uiPriority="65" w:semiHidden="0" w:name="Medium List 1"/>
    <w:lsdException w:qFormat="1" w:unhideWhenUsed="0" w:uiPriority="66" w:semiHidden="0" w:name="Medium List 2"/>
    <w:lsdException w:qFormat="1" w:unhideWhenUsed="0" w:uiPriority="67" w:semiHidden="0" w:name="Medium Grid 1"/>
    <w:lsdException w:qFormat="1" w:unhideWhenUsed="0" w:uiPriority="68" w:semiHidden="0" w:name="Medium Grid 2"/>
    <w:lsdException w:qFormat="1" w:unhideWhenUsed="0" w:uiPriority="69" w:semiHidden="0" w:name="Medium Grid 3"/>
    <w:lsdException w:qFormat="1" w:unhideWhenUsed="0" w:uiPriority="70" w:semiHidden="0" w:name="Dark List"/>
    <w:lsdException w:qFormat="1" w:unhideWhenUsed="0" w:uiPriority="71" w:semiHidden="0" w:name="Colorful Shading"/>
    <w:lsdException w:unhideWhenUsed="0" w:uiPriority="72" w:semiHidden="0" w:name="Colorful List"/>
    <w:lsdException w:qFormat="1" w:unhideWhenUsed="0" w:uiPriority="73" w:semiHidden="0" w:name="Colorful Grid"/>
    <w:lsdException w:qFormat="1" w:unhideWhenUsed="0" w:uiPriority="60" w:semiHidden="0" w:name="Light Shading Accent 1"/>
    <w:lsdException w:qFormat="1" w:unhideWhenUsed="0" w:uiPriority="61" w:semiHidden="0" w:name="Light List Accent 1"/>
    <w:lsdException w:unhideWhenUsed="0" w:uiPriority="62" w:semiHidden="0" w:name="Light Grid Accent 1"/>
    <w:lsdException w:unhideWhenUsed="0" w:uiPriority="63" w:semiHidden="0" w:name="Medium Shading 1 Accent 1"/>
    <w:lsdException w:qFormat="1"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qFormat="1" w:unhideWhenUsed="0" w:uiPriority="66" w:semiHidden="0" w:name="Medium List 2 Accent 1"/>
    <w:lsdException w:qFormat="1" w:unhideWhenUsed="0" w:uiPriority="67" w:semiHidden="0" w:name="Medium Grid 1 Accent 1"/>
    <w:lsdException w:qFormat="1" w:unhideWhenUsed="0" w:uiPriority="68" w:semiHidden="0" w:name="Medium Grid 2 Accent 1"/>
    <w:lsdException w:qFormat="1" w:unhideWhenUsed="0" w:uiPriority="69" w:semiHidden="0" w:name="Medium Grid 3 Accent 1"/>
    <w:lsdException w:qFormat="1" w:unhideWhenUsed="0" w:uiPriority="70" w:semiHidden="0" w:name="Dark List Accent 1"/>
    <w:lsdException w:qFormat="1"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qFormat="1" w:unhideWhenUsed="0" w:uiPriority="63" w:semiHidden="0" w:name="Medium Shading 1 Accent 2"/>
    <w:lsdException w:qFormat="1" w:unhideWhenUsed="0" w:uiPriority="64" w:semiHidden="0" w:name="Medium Shading 2 Accent 2"/>
    <w:lsdException w:qFormat="1" w:unhideWhenUsed="0" w:uiPriority="65" w:semiHidden="0" w:name="Medium List 1 Accent 2"/>
    <w:lsdException w:qFormat="1" w:unhideWhenUsed="0" w:uiPriority="66" w:semiHidden="0" w:name="Medium List 2 Accent 2"/>
    <w:lsdException w:qFormat="1" w:unhideWhenUsed="0" w:uiPriority="67" w:semiHidden="0" w:name="Medium Grid 1 Accent 2"/>
    <w:lsdException w:qFormat="1" w:unhideWhenUsed="0" w:uiPriority="68" w:semiHidden="0" w:name="Medium Grid 2 Accent 2"/>
    <w:lsdException w:qFormat="1" w:unhideWhenUsed="0" w:uiPriority="69" w:semiHidden="0" w:name="Medium Grid 3 Accent 2"/>
    <w:lsdException w:unhideWhenUsed="0" w:uiPriority="70" w:semiHidden="0" w:name="Dark List Accent 2"/>
    <w:lsdException w:qFormat="1" w:unhideWhenUsed="0" w:uiPriority="71" w:semiHidden="0" w:name="Colorful Shading Accent 2"/>
    <w:lsdException w:unhideWhenUsed="0" w:uiPriority="72" w:semiHidden="0" w:name="Colorful List Accent 2"/>
    <w:lsdException w:unhideWhenUsed="0" w:uiPriority="73" w:semiHidden="0" w:name="Colorful Grid Accent 2"/>
    <w:lsdException w:qFormat="1" w:unhideWhenUsed="0" w:uiPriority="60" w:semiHidden="0" w:name="Light Shading Accent 3"/>
    <w:lsdException w:unhideWhenUsed="0" w:uiPriority="61" w:semiHidden="0" w:name="Light List Accent 3"/>
    <w:lsdException w:unhideWhenUsed="0" w:uiPriority="62" w:semiHidden="0" w:name="Light Grid Accent 3"/>
    <w:lsdException w:qFormat="1" w:unhideWhenUsed="0" w:uiPriority="63" w:semiHidden="0" w:name="Medium Shading 1 Accent 3"/>
    <w:lsdException w:unhideWhenUsed="0" w:uiPriority="64" w:semiHidden="0" w:name="Medium Shading 2 Accent 3"/>
    <w:lsdException w:qFormat="1" w:unhideWhenUsed="0" w:uiPriority="65" w:semiHidden="0" w:name="Medium List 1 Accent 3"/>
    <w:lsdException w:qFormat="1" w:unhideWhenUsed="0" w:uiPriority="66" w:semiHidden="0" w:name="Medium List 2 Accent 3"/>
    <w:lsdException w:qFormat="1" w:unhideWhenUsed="0" w:uiPriority="67" w:semiHidden="0" w:name="Medium Grid 1 Accent 3"/>
    <w:lsdException w:qFormat="1" w:unhideWhenUsed="0" w:uiPriority="68" w:semiHidden="0" w:name="Medium Grid 2 Accent 3"/>
    <w:lsdException w:qFormat="1" w:unhideWhenUsed="0" w:uiPriority="69" w:semiHidden="0" w:name="Medium Grid 3 Accent 3"/>
    <w:lsdException w:qFormat="1" w:unhideWhenUsed="0" w:uiPriority="70" w:semiHidden="0" w:name="Dark List Accent 3"/>
    <w:lsdException w:qFormat="1"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qFormat="1" w:unhideWhenUsed="0" w:uiPriority="62" w:semiHidden="0" w:name="Light Grid Accent 4"/>
    <w:lsdException w:qFormat="1" w:unhideWhenUsed="0" w:uiPriority="63" w:semiHidden="0" w:name="Medium Shading 1 Accent 4"/>
    <w:lsdException w:qFormat="1" w:unhideWhenUsed="0" w:uiPriority="64" w:semiHidden="0" w:name="Medium Shading 2 Accent 4"/>
    <w:lsdException w:qFormat="1" w:unhideWhenUsed="0" w:uiPriority="65" w:semiHidden="0" w:name="Medium List 1 Accent 4"/>
    <w:lsdException w:qFormat="1" w:unhideWhenUsed="0" w:uiPriority="66" w:semiHidden="0" w:name="Medium List 2 Accent 4"/>
    <w:lsdException w:qFormat="1" w:unhideWhenUsed="0" w:uiPriority="67" w:semiHidden="0" w:name="Medium Grid 1 Accent 4"/>
    <w:lsdException w:unhideWhenUsed="0" w:uiPriority="68" w:semiHidden="0" w:name="Medium Grid 2 Accent 4"/>
    <w:lsdException w:qFormat="1" w:unhideWhenUsed="0" w:uiPriority="69" w:semiHidden="0" w:name="Medium Grid 3 Accent 4"/>
    <w:lsdException w:qFormat="1" w:unhideWhenUsed="0" w:uiPriority="70" w:semiHidden="0" w:name="Dark List Accent 4"/>
    <w:lsdException w:qFormat="1" w:unhideWhenUsed="0" w:uiPriority="71" w:semiHidden="0" w:name="Colorful Shading Accent 4"/>
    <w:lsdException w:qFormat="1"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qFormat="1" w:unhideWhenUsed="0" w:uiPriority="63" w:semiHidden="0" w:name="Medium Shading 1 Accent 5"/>
    <w:lsdException w:qFormat="1" w:unhideWhenUsed="0" w:uiPriority="64" w:semiHidden="0" w:name="Medium Shading 2 Accent 5"/>
    <w:lsdException w:qFormat="1" w:unhideWhenUsed="0" w:uiPriority="65" w:semiHidden="0" w:name="Medium List 1 Accent 5"/>
    <w:lsdException w:qFormat="1" w:unhideWhenUsed="0" w:uiPriority="66" w:semiHidden="0" w:name="Medium List 2 Accent 5"/>
    <w:lsdException w:qFormat="1" w:unhideWhenUsed="0" w:uiPriority="67" w:semiHidden="0" w:name="Medium Grid 1 Accent 5"/>
    <w:lsdException w:qFormat="1" w:unhideWhenUsed="0" w:uiPriority="68" w:semiHidden="0" w:name="Medium Grid 2 Accent 5"/>
    <w:lsdException w:qFormat="1" w:unhideWhenUsed="0" w:uiPriority="69" w:semiHidden="0" w:name="Medium Grid 3 Accent 5"/>
    <w:lsdException w:qFormat="1"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qFormat="1" w:unhideWhenUsed="0" w:uiPriority="63" w:semiHidden="0" w:name="Medium Shading 1 Accent 6"/>
    <w:lsdException w:qFormat="1" w:unhideWhenUsed="0" w:uiPriority="64" w:semiHidden="0" w:name="Medium Shading 2 Accent 6"/>
    <w:lsdException w:qFormat="1" w:unhideWhenUsed="0" w:uiPriority="65" w:semiHidden="0" w:name="Medium List 1 Accent 6"/>
    <w:lsdException w:unhideWhenUsed="0" w:uiPriority="66" w:semiHidden="0" w:name="Medium List 2 Accent 6"/>
    <w:lsdException w:qFormat="1" w:unhideWhenUsed="0" w:uiPriority="67" w:semiHidden="0" w:name="Medium Grid 1 Accent 6"/>
    <w:lsdException w:qFormat="1" w:unhideWhenUsed="0" w:uiPriority="68" w:semiHidden="0" w:name="Medium Grid 2 Accent 6"/>
    <w:lsdException w:qFormat="1" w:unhideWhenUsed="0" w:uiPriority="69" w:semiHidden="0" w:name="Medium Grid 3 Accent 6"/>
    <w:lsdException w:qFormat="1" w:unhideWhenUsed="0" w:uiPriority="70" w:semiHidden="0" w:name="Dark List Accent 6"/>
    <w:lsdException w:qFormat="1" w:unhideWhenUsed="0" w:uiPriority="71" w:semiHidden="0" w:name="Colorful Shading Accent 6"/>
    <w:lsdException w:unhideWhenUsed="0" w:uiPriority="72" w:semiHidden="0" w:name="Colorful List Accent 6"/>
    <w:lsdException w:qFormat="1" w:unhideWhenUsed="0" w:uiPriority="73" w:semiHidden="0" w:name="Colorful Grid Accent 6"/>
  </w:latentStyles>
  <w:style w:type="paragraph" w:default="1" w:styleId="1">
    <w:name w:val="Normal"/>
    <w:qFormat/>
    <w:uiPriority w:val="0"/>
    <w:pPr>
      <w:spacing w:after="200" w:line="276" w:lineRule="auto"/>
    </w:pPr>
    <w:rPr>
      <w:rFonts w:asciiTheme="minorHAnsi" w:hAnsiTheme="minorHAnsi" w:eastAsiaTheme="minorEastAsia" w:cstheme="minorBidi"/>
      <w:sz w:val="22"/>
      <w:szCs w:val="22"/>
      <w:lang w:val="en-US" w:eastAsia="en-US" w:bidi="ar-SA"/>
    </w:rPr>
  </w:style>
  <w:style w:type="paragraph" w:styleId="3">
    <w:name w:val="heading 1"/>
    <w:basedOn w:val="1"/>
    <w:next w:val="1"/>
    <w:link w:val="139"/>
    <w:qFormat/>
    <w:uiPriority w:val="9"/>
    <w:pPr>
      <w:keepNext/>
      <w:keepLines/>
      <w:spacing w:before="480" w:after="0"/>
      <w:outlineLvl w:val="0"/>
    </w:pPr>
    <w:rPr>
      <w:rFonts w:asciiTheme="majorHAnsi" w:hAnsiTheme="majorHAnsi" w:eastAsiaTheme="majorEastAsia" w:cstheme="majorBidi"/>
      <w:b/>
      <w:bCs/>
      <w:color w:val="376092" w:themeColor="accent1" w:themeShade="BF"/>
      <w:sz w:val="28"/>
      <w:szCs w:val="28"/>
    </w:rPr>
  </w:style>
  <w:style w:type="paragraph" w:styleId="4">
    <w:name w:val="heading 2"/>
    <w:basedOn w:val="1"/>
    <w:next w:val="1"/>
    <w:link w:val="140"/>
    <w:unhideWhenUsed/>
    <w:qFormat/>
    <w:uiPriority w:val="9"/>
    <w:pPr>
      <w:keepNext/>
      <w:keepLines/>
      <w:spacing w:before="200" w:after="0"/>
      <w:outlineLvl w:val="1"/>
    </w:pPr>
    <w:rPr>
      <w:rFonts w:asciiTheme="majorHAnsi" w:hAnsiTheme="majorHAnsi" w:eastAsiaTheme="majorEastAsia" w:cstheme="majorBidi"/>
      <w:b/>
      <w:bCs/>
      <w:color w:val="4F81BD" w:themeColor="accent1"/>
      <w:sz w:val="26"/>
      <w:szCs w:val="26"/>
      <w14:textFill>
        <w14:solidFill>
          <w14:schemeClr w14:val="accent1"/>
        </w14:solidFill>
      </w14:textFill>
    </w:rPr>
  </w:style>
  <w:style w:type="paragraph" w:styleId="5">
    <w:name w:val="heading 3"/>
    <w:basedOn w:val="1"/>
    <w:next w:val="1"/>
    <w:link w:val="141"/>
    <w:unhideWhenUsed/>
    <w:qFormat/>
    <w:uiPriority w:val="9"/>
    <w:pPr>
      <w:keepNext/>
      <w:keepLines/>
      <w:spacing w:before="200" w:after="0"/>
      <w:outlineLvl w:val="2"/>
    </w:pPr>
    <w:rPr>
      <w:rFonts w:asciiTheme="majorHAnsi" w:hAnsiTheme="majorHAnsi" w:eastAsiaTheme="majorEastAsia" w:cstheme="majorBidi"/>
      <w:b/>
      <w:bCs/>
      <w:color w:val="4F81BD" w:themeColor="accent1"/>
      <w14:textFill>
        <w14:solidFill>
          <w14:schemeClr w14:val="accent1"/>
        </w14:solidFill>
      </w14:textFill>
    </w:rPr>
  </w:style>
  <w:style w:type="paragraph" w:styleId="6">
    <w:name w:val="heading 4"/>
    <w:basedOn w:val="1"/>
    <w:next w:val="1"/>
    <w:link w:val="151"/>
    <w:semiHidden/>
    <w:unhideWhenUsed/>
    <w:qFormat/>
    <w:uiPriority w:val="9"/>
    <w:pPr>
      <w:keepNext/>
      <w:keepLines/>
      <w:spacing w:before="200" w:after="0"/>
      <w:outlineLvl w:val="3"/>
    </w:pPr>
    <w:rPr>
      <w:rFonts w:asciiTheme="majorHAnsi" w:hAnsiTheme="majorHAnsi" w:eastAsiaTheme="majorEastAsia" w:cstheme="majorBidi"/>
      <w:b/>
      <w:bCs/>
      <w:i/>
      <w:iCs/>
      <w:color w:val="4F81BD" w:themeColor="accent1"/>
      <w14:textFill>
        <w14:solidFill>
          <w14:schemeClr w14:val="accent1"/>
        </w14:solidFill>
      </w14:textFill>
    </w:rPr>
  </w:style>
  <w:style w:type="paragraph" w:styleId="7">
    <w:name w:val="heading 5"/>
    <w:basedOn w:val="1"/>
    <w:next w:val="1"/>
    <w:link w:val="152"/>
    <w:semiHidden/>
    <w:unhideWhenUsed/>
    <w:qFormat/>
    <w:uiPriority w:val="9"/>
    <w:pPr>
      <w:keepNext/>
      <w:keepLines/>
      <w:spacing w:before="200" w:after="0"/>
      <w:outlineLvl w:val="4"/>
    </w:pPr>
    <w:rPr>
      <w:rFonts w:asciiTheme="majorHAnsi" w:hAnsiTheme="majorHAnsi" w:eastAsiaTheme="majorEastAsia" w:cstheme="majorBidi"/>
      <w:color w:val="254061" w:themeColor="accent1" w:themeShade="80"/>
    </w:rPr>
  </w:style>
  <w:style w:type="paragraph" w:styleId="8">
    <w:name w:val="heading 6"/>
    <w:basedOn w:val="1"/>
    <w:next w:val="1"/>
    <w:link w:val="153"/>
    <w:semiHidden/>
    <w:unhideWhenUsed/>
    <w:qFormat/>
    <w:uiPriority w:val="9"/>
    <w:pPr>
      <w:keepNext/>
      <w:keepLines/>
      <w:spacing w:before="200" w:after="0"/>
      <w:outlineLvl w:val="5"/>
    </w:pPr>
    <w:rPr>
      <w:rFonts w:asciiTheme="majorHAnsi" w:hAnsiTheme="majorHAnsi" w:eastAsiaTheme="majorEastAsia" w:cstheme="majorBidi"/>
      <w:i/>
      <w:iCs/>
      <w:color w:val="254061" w:themeColor="accent1" w:themeShade="80"/>
    </w:rPr>
  </w:style>
  <w:style w:type="paragraph" w:styleId="9">
    <w:name w:val="heading 7"/>
    <w:basedOn w:val="1"/>
    <w:next w:val="1"/>
    <w:link w:val="154"/>
    <w:semiHidden/>
    <w:unhideWhenUsed/>
    <w:qFormat/>
    <w:uiPriority w:val="9"/>
    <w:pPr>
      <w:keepNext/>
      <w:keepLines/>
      <w:spacing w:before="200" w:after="0"/>
      <w:outlineLvl w:val="6"/>
    </w:pPr>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paragraph" w:styleId="10">
    <w:name w:val="heading 8"/>
    <w:basedOn w:val="1"/>
    <w:next w:val="1"/>
    <w:link w:val="155"/>
    <w:semiHidden/>
    <w:unhideWhenUsed/>
    <w:qFormat/>
    <w:uiPriority w:val="9"/>
    <w:pPr>
      <w:keepNext/>
      <w:keepLines/>
      <w:spacing w:before="200" w:after="0"/>
      <w:outlineLvl w:val="7"/>
    </w:pPr>
    <w:rPr>
      <w:rFonts w:asciiTheme="majorHAnsi" w:hAnsiTheme="majorHAnsi" w:eastAsiaTheme="majorEastAsia" w:cstheme="majorBidi"/>
      <w:color w:val="4F81BD" w:themeColor="accent1"/>
      <w:sz w:val="20"/>
      <w:szCs w:val="20"/>
      <w14:textFill>
        <w14:solidFill>
          <w14:schemeClr w14:val="accent1"/>
        </w14:solidFill>
      </w14:textFill>
    </w:rPr>
  </w:style>
  <w:style w:type="paragraph" w:styleId="11">
    <w:name w:val="heading 9"/>
    <w:basedOn w:val="1"/>
    <w:next w:val="1"/>
    <w:link w:val="156"/>
    <w:semiHidden/>
    <w:unhideWhenUsed/>
    <w:qFormat/>
    <w:uiPriority w:val="9"/>
    <w:pPr>
      <w:keepNext/>
      <w:keepLines/>
      <w:spacing w:before="200" w:after="0"/>
      <w:outlineLvl w:val="8"/>
    </w:pPr>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character" w:default="1" w:styleId="132">
    <w:name w:val="Default Paragraph Font"/>
    <w:semiHidden/>
    <w:unhideWhenUsed/>
    <w:uiPriority w:val="1"/>
  </w:style>
  <w:style w:type="table" w:default="1" w:styleId="32">
    <w:name w:val="Normal Table"/>
    <w:semiHidden/>
    <w:unhideWhenUsed/>
    <w:qFormat/>
    <w:uiPriority w:val="99"/>
    <w:tblPr>
      <w:tblCellMar>
        <w:top w:w="0" w:type="dxa"/>
        <w:left w:w="108" w:type="dxa"/>
        <w:bottom w:w="0" w:type="dxa"/>
        <w:right w:w="108" w:type="dxa"/>
      </w:tblCellMar>
    </w:tblPr>
  </w:style>
  <w:style w:type="paragraph" w:styleId="2">
    <w:name w:val="macro"/>
    <w:link w:val="148"/>
    <w:unhideWhenUsed/>
    <w:qFormat/>
    <w:uiPriority w:val="99"/>
    <w:pPr>
      <w:tabs>
        <w:tab w:val="left" w:pos="576"/>
        <w:tab w:val="left" w:pos="1152"/>
        <w:tab w:val="left" w:pos="1728"/>
        <w:tab w:val="left" w:pos="2304"/>
        <w:tab w:val="left" w:pos="2880"/>
        <w:tab w:val="left" w:pos="3456"/>
        <w:tab w:val="left" w:pos="4032"/>
      </w:tabs>
      <w:spacing w:after="200" w:line="276" w:lineRule="auto"/>
    </w:pPr>
    <w:rPr>
      <w:rFonts w:ascii="Courier" w:hAnsi="Courier" w:eastAsiaTheme="minorEastAsia" w:cstheme="minorBidi"/>
      <w:sz w:val="20"/>
      <w:szCs w:val="20"/>
      <w:lang w:val="en-US" w:eastAsia="en-US" w:bidi="ar-SA"/>
    </w:rPr>
  </w:style>
  <w:style w:type="paragraph" w:styleId="12">
    <w:name w:val="List 3"/>
    <w:basedOn w:val="1"/>
    <w:unhideWhenUsed/>
    <w:uiPriority w:val="99"/>
    <w:pPr>
      <w:ind w:left="1080" w:hanging="360"/>
      <w:contextualSpacing/>
    </w:pPr>
  </w:style>
  <w:style w:type="paragraph" w:styleId="13">
    <w:name w:val="List Number 2"/>
    <w:basedOn w:val="1"/>
    <w:unhideWhenUsed/>
    <w:uiPriority w:val="99"/>
    <w:pPr>
      <w:numPr>
        <w:ilvl w:val="0"/>
        <w:numId w:val="1"/>
      </w:numPr>
      <w:contextualSpacing/>
    </w:pPr>
  </w:style>
  <w:style w:type="paragraph" w:styleId="14">
    <w:name w:val="List Number"/>
    <w:basedOn w:val="1"/>
    <w:unhideWhenUsed/>
    <w:uiPriority w:val="99"/>
    <w:pPr>
      <w:numPr>
        <w:ilvl w:val="0"/>
        <w:numId w:val="2"/>
      </w:numPr>
      <w:contextualSpacing/>
    </w:pPr>
  </w:style>
  <w:style w:type="paragraph" w:styleId="15">
    <w:name w:val="caption"/>
    <w:basedOn w:val="1"/>
    <w:next w:val="1"/>
    <w:semiHidden/>
    <w:unhideWhenUsed/>
    <w:qFormat/>
    <w:uiPriority w:val="35"/>
    <w:pPr>
      <w:spacing w:line="240" w:lineRule="auto"/>
    </w:pPr>
    <w:rPr>
      <w:b/>
      <w:bCs/>
      <w:color w:val="4F81BD" w:themeColor="accent1"/>
      <w:sz w:val="18"/>
      <w:szCs w:val="18"/>
      <w14:textFill>
        <w14:solidFill>
          <w14:schemeClr w14:val="accent1"/>
        </w14:solidFill>
      </w14:textFill>
    </w:rPr>
  </w:style>
  <w:style w:type="paragraph" w:styleId="16">
    <w:name w:val="List Bullet"/>
    <w:basedOn w:val="1"/>
    <w:unhideWhenUsed/>
    <w:uiPriority w:val="99"/>
    <w:pPr>
      <w:numPr>
        <w:ilvl w:val="0"/>
        <w:numId w:val="3"/>
      </w:numPr>
      <w:contextualSpacing/>
    </w:pPr>
  </w:style>
  <w:style w:type="paragraph" w:styleId="17">
    <w:name w:val="Body Text 3"/>
    <w:basedOn w:val="1"/>
    <w:link w:val="147"/>
    <w:unhideWhenUsed/>
    <w:uiPriority w:val="99"/>
    <w:pPr>
      <w:spacing w:after="120"/>
    </w:pPr>
    <w:rPr>
      <w:sz w:val="16"/>
      <w:szCs w:val="16"/>
    </w:rPr>
  </w:style>
  <w:style w:type="paragraph" w:styleId="18">
    <w:name w:val="List Bullet 3"/>
    <w:basedOn w:val="1"/>
    <w:unhideWhenUsed/>
    <w:uiPriority w:val="99"/>
    <w:pPr>
      <w:numPr>
        <w:ilvl w:val="0"/>
        <w:numId w:val="4"/>
      </w:numPr>
      <w:contextualSpacing/>
    </w:pPr>
  </w:style>
  <w:style w:type="paragraph" w:styleId="19">
    <w:name w:val="Body Text"/>
    <w:basedOn w:val="1"/>
    <w:link w:val="145"/>
    <w:unhideWhenUsed/>
    <w:uiPriority w:val="99"/>
    <w:pPr>
      <w:spacing w:after="120"/>
    </w:pPr>
  </w:style>
  <w:style w:type="paragraph" w:styleId="20">
    <w:name w:val="List Number 3"/>
    <w:basedOn w:val="1"/>
    <w:unhideWhenUsed/>
    <w:uiPriority w:val="99"/>
    <w:pPr>
      <w:numPr>
        <w:ilvl w:val="0"/>
        <w:numId w:val="5"/>
      </w:numPr>
      <w:contextualSpacing/>
    </w:pPr>
  </w:style>
  <w:style w:type="paragraph" w:styleId="21">
    <w:name w:val="List 2"/>
    <w:basedOn w:val="1"/>
    <w:unhideWhenUsed/>
    <w:uiPriority w:val="99"/>
    <w:pPr>
      <w:ind w:left="720" w:hanging="360"/>
      <w:contextualSpacing/>
    </w:pPr>
  </w:style>
  <w:style w:type="paragraph" w:styleId="22">
    <w:name w:val="List Continue"/>
    <w:basedOn w:val="1"/>
    <w:unhideWhenUsed/>
    <w:qFormat/>
    <w:uiPriority w:val="99"/>
    <w:pPr>
      <w:spacing w:after="120"/>
      <w:ind w:left="360"/>
      <w:contextualSpacing/>
    </w:pPr>
  </w:style>
  <w:style w:type="paragraph" w:styleId="23">
    <w:name w:val="List Bullet 2"/>
    <w:basedOn w:val="1"/>
    <w:unhideWhenUsed/>
    <w:uiPriority w:val="99"/>
    <w:pPr>
      <w:numPr>
        <w:ilvl w:val="0"/>
        <w:numId w:val="6"/>
      </w:numPr>
      <w:contextualSpacing/>
    </w:pPr>
  </w:style>
  <w:style w:type="paragraph" w:styleId="24">
    <w:name w:val="footer"/>
    <w:basedOn w:val="1"/>
    <w:link w:val="137"/>
    <w:unhideWhenUsed/>
    <w:uiPriority w:val="99"/>
    <w:pPr>
      <w:tabs>
        <w:tab w:val="center" w:pos="4680"/>
        <w:tab w:val="right" w:pos="9360"/>
      </w:tabs>
      <w:spacing w:after="0" w:line="240" w:lineRule="auto"/>
    </w:pPr>
  </w:style>
  <w:style w:type="paragraph" w:styleId="25">
    <w:name w:val="header"/>
    <w:basedOn w:val="1"/>
    <w:link w:val="136"/>
    <w:unhideWhenUsed/>
    <w:uiPriority w:val="99"/>
    <w:pPr>
      <w:tabs>
        <w:tab w:val="center" w:pos="4680"/>
        <w:tab w:val="right" w:pos="9360"/>
      </w:tabs>
      <w:spacing w:after="0" w:line="240" w:lineRule="auto"/>
    </w:pPr>
  </w:style>
  <w:style w:type="paragraph" w:styleId="26">
    <w:name w:val="Subtitle"/>
    <w:basedOn w:val="1"/>
    <w:next w:val="1"/>
    <w:link w:val="143"/>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27">
    <w:name w:val="List"/>
    <w:basedOn w:val="1"/>
    <w:unhideWhenUsed/>
    <w:uiPriority w:val="99"/>
    <w:pPr>
      <w:ind w:left="360" w:hanging="360"/>
      <w:contextualSpacing/>
    </w:pPr>
  </w:style>
  <w:style w:type="paragraph" w:styleId="28">
    <w:name w:val="Body Text 2"/>
    <w:basedOn w:val="1"/>
    <w:link w:val="146"/>
    <w:unhideWhenUsed/>
    <w:qFormat/>
    <w:uiPriority w:val="99"/>
    <w:pPr>
      <w:spacing w:after="120" w:line="480" w:lineRule="auto"/>
    </w:pPr>
  </w:style>
  <w:style w:type="paragraph" w:styleId="29">
    <w:name w:val="List Continue 2"/>
    <w:basedOn w:val="1"/>
    <w:unhideWhenUsed/>
    <w:uiPriority w:val="99"/>
    <w:pPr>
      <w:spacing w:after="120"/>
      <w:ind w:left="720"/>
      <w:contextualSpacing/>
    </w:pPr>
  </w:style>
  <w:style w:type="paragraph" w:styleId="30">
    <w:name w:val="List Continue 3"/>
    <w:basedOn w:val="1"/>
    <w:unhideWhenUsed/>
    <w:uiPriority w:val="99"/>
    <w:pPr>
      <w:spacing w:after="120"/>
      <w:ind w:left="1080"/>
      <w:contextualSpacing/>
    </w:pPr>
  </w:style>
  <w:style w:type="paragraph" w:styleId="31">
    <w:name w:val="Title"/>
    <w:basedOn w:val="1"/>
    <w:next w:val="1"/>
    <w:link w:val="142"/>
    <w:qFormat/>
    <w:uiPriority w:val="10"/>
    <w:pPr>
      <w:pBdr>
        <w:bottom w:val="single" w:color="4F81BD" w:themeColor="accent1" w:sz="8" w:space="4"/>
      </w:pBdr>
      <w:spacing w:after="300" w:line="240" w:lineRule="auto"/>
      <w:contextualSpacing/>
    </w:pPr>
    <w:rPr>
      <w:rFonts w:asciiTheme="majorHAnsi" w:hAnsiTheme="majorHAnsi" w:eastAsiaTheme="majorEastAsia" w:cstheme="majorBidi"/>
      <w:color w:val="17375E" w:themeColor="text2" w:themeShade="BF"/>
      <w:spacing w:val="5"/>
      <w:kern w:val="28"/>
      <w:sz w:val="52"/>
      <w:szCs w:val="52"/>
    </w:rPr>
  </w:style>
  <w:style w:type="table" w:styleId="33">
    <w:name w:val="Table Grid"/>
    <w:basedOn w:val="32"/>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34">
    <w:name w:val="Light Shading"/>
    <w:basedOn w:val="32"/>
    <w:uiPriority w:val="60"/>
    <w:pPr>
      <w:spacing w:after="0" w:line="240" w:lineRule="auto"/>
    </w:pPr>
    <w:rPr>
      <w:color w:val="000000" w:themeColor="text1" w:themeShade="BF"/>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left w:val="nil"/>
          <w:right w:val="nil"/>
          <w:insideH w:val="nil"/>
          <w:insideV w:val="nil"/>
        </w:tcBorders>
        <w:shd w:val="clear" w:color="auto" w:fill="BFBFBF" w:themeFill="text1" w:themeFillTint="3F"/>
      </w:tcPr>
    </w:tblStylePr>
  </w:style>
  <w:style w:type="table" w:styleId="35">
    <w:name w:val="Light Shading Accent 1"/>
    <w:basedOn w:val="32"/>
    <w:qFormat/>
    <w:uiPriority w:val="60"/>
    <w:pPr>
      <w:spacing w:after="0" w:line="240" w:lineRule="auto"/>
    </w:pPr>
    <w:rPr>
      <w:color w:val="376092" w:themeColor="accent1" w:themeShade="BF"/>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36">
    <w:name w:val="Light Shading Accent 2"/>
    <w:basedOn w:val="32"/>
    <w:uiPriority w:val="60"/>
    <w:pPr>
      <w:spacing w:after="0" w:line="240" w:lineRule="auto"/>
    </w:pPr>
    <w:rPr>
      <w:color w:val="953735" w:themeColor="accent2" w:themeShade="BF"/>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left w:val="nil"/>
          <w:right w:val="nil"/>
          <w:insideH w:val="nil"/>
          <w:insideV w:val="nil"/>
        </w:tcBorders>
        <w:shd w:val="clear" w:color="auto" w:fill="EFD3D3" w:themeFill="accent2" w:themeFillTint="3F"/>
      </w:tcPr>
    </w:tblStylePr>
  </w:style>
  <w:style w:type="table" w:styleId="37">
    <w:name w:val="Light Shading Accent 3"/>
    <w:basedOn w:val="32"/>
    <w:qFormat/>
    <w:uiPriority w:val="60"/>
    <w:pPr>
      <w:spacing w:after="0" w:line="240" w:lineRule="auto"/>
    </w:pPr>
    <w:rPr>
      <w:color w:val="77933C" w:themeColor="accent3" w:themeShade="BF"/>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38">
    <w:name w:val="Light Shading Accent 4"/>
    <w:basedOn w:val="32"/>
    <w:uiPriority w:val="60"/>
    <w:pPr>
      <w:spacing w:after="0" w:line="240" w:lineRule="auto"/>
    </w:pPr>
    <w:rPr>
      <w:color w:val="604A7B" w:themeColor="accent4" w:themeShade="BF"/>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39">
    <w:name w:val="Light Shading Accent 5"/>
    <w:basedOn w:val="32"/>
    <w:uiPriority w:val="60"/>
    <w:pPr>
      <w:spacing w:after="0" w:line="240" w:lineRule="auto"/>
    </w:pPr>
    <w:rPr>
      <w:color w:val="31859C" w:themeColor="accent5" w:themeShade="BF"/>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left w:val="nil"/>
          <w:right w:val="nil"/>
          <w:insideH w:val="nil"/>
          <w:insideV w:val="nil"/>
        </w:tcBorders>
        <w:shd w:val="clear" w:color="auto" w:fill="D2EAF0" w:themeFill="accent5" w:themeFillTint="3F"/>
      </w:tcPr>
    </w:tblStylePr>
  </w:style>
  <w:style w:type="table" w:styleId="40">
    <w:name w:val="Light Shading Accent 6"/>
    <w:basedOn w:val="32"/>
    <w:uiPriority w:val="60"/>
    <w:pPr>
      <w:spacing w:after="0" w:line="240" w:lineRule="auto"/>
    </w:pPr>
    <w:rPr>
      <w:color w:val="E46C0A" w:themeColor="accent6" w:themeShade="BF"/>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left w:val="nil"/>
          <w:right w:val="nil"/>
          <w:insideH w:val="nil"/>
          <w:insideV w:val="nil"/>
        </w:tcBorders>
        <w:shd w:val="clear" w:color="auto" w:fill="FDE5D1" w:themeFill="accent6" w:themeFillTint="3F"/>
      </w:tcPr>
    </w:tblStylePr>
  </w:style>
  <w:style w:type="table" w:styleId="41">
    <w:name w:val="Light List"/>
    <w:basedOn w:val="32"/>
    <w:uiPriority w:val="61"/>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42">
    <w:name w:val="Light List Accent 1"/>
    <w:basedOn w:val="32"/>
    <w:qFormat/>
    <w:uiPriority w:val="61"/>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43">
    <w:name w:val="Light List Accent 2"/>
    <w:basedOn w:val="32"/>
    <w:uiPriority w:val="61"/>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StylePr>
    <w:tblStylePr w:type="lastCol">
      <w:rPr>
        <w:b/>
        <w:bCs/>
      </w:r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44">
    <w:name w:val="Light List Accent 3"/>
    <w:basedOn w:val="32"/>
    <w:uiPriority w:val="61"/>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StylePr>
    <w:tblStylePr w:type="lastCol">
      <w:rPr>
        <w:b/>
        <w:bCs/>
      </w:r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45">
    <w:name w:val="Light List Accent 4"/>
    <w:basedOn w:val="32"/>
    <w:uiPriority w:val="61"/>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StylePr>
    <w:tblStylePr w:type="lastCol">
      <w:rPr>
        <w:b/>
        <w:bCs/>
      </w:r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46">
    <w:name w:val="Light List Accent 5"/>
    <w:basedOn w:val="32"/>
    <w:uiPriority w:val="61"/>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StylePr>
    <w:tblStylePr w:type="lastCol">
      <w:rPr>
        <w:b/>
        <w:bCs/>
      </w:r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47">
    <w:name w:val="Light List Accent 6"/>
    <w:basedOn w:val="32"/>
    <w:uiPriority w:val="61"/>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StylePr>
    <w:tblStylePr w:type="lastCol">
      <w:rPr>
        <w:b/>
        <w:bCs/>
      </w:r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48">
    <w:name w:val="Light Grid"/>
    <w:basedOn w:val="32"/>
    <w:uiPriority w:val="62"/>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BFBFBF"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shd w:val="clear" w:color="auto" w:fill="BFBFBF"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tcPr>
    </w:tblStylePr>
  </w:style>
  <w:style w:type="table" w:styleId="49">
    <w:name w:val="Light Grid Accent 1"/>
    <w:basedOn w:val="32"/>
    <w:uiPriority w:val="62"/>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tcPr>
    </w:tblStylePr>
  </w:style>
  <w:style w:type="table" w:styleId="50">
    <w:name w:val="Light Grid Accent 2"/>
    <w:basedOn w:val="32"/>
    <w:uiPriority w:val="62"/>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3"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shd w:val="clear" w:color="auto" w:fill="EFD3D3"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tcPr>
    </w:tblStylePr>
  </w:style>
  <w:style w:type="table" w:styleId="51">
    <w:name w:val="Light Grid Accent 3"/>
    <w:basedOn w:val="32"/>
    <w:uiPriority w:val="62"/>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tcPr>
    </w:tblStylePr>
  </w:style>
  <w:style w:type="table" w:styleId="52">
    <w:name w:val="Light Grid Accent 4"/>
    <w:basedOn w:val="32"/>
    <w:qFormat/>
    <w:uiPriority w:val="62"/>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tcPr>
    </w:tblStylePr>
  </w:style>
  <w:style w:type="table" w:styleId="53">
    <w:name w:val="Light Grid Accent 5"/>
    <w:basedOn w:val="32"/>
    <w:uiPriority w:val="62"/>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0"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shd w:val="clear" w:color="auto" w:fill="D2EAF0"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tcPr>
    </w:tblStylePr>
  </w:style>
  <w:style w:type="table" w:styleId="54">
    <w:name w:val="Light Grid Accent 6"/>
    <w:basedOn w:val="32"/>
    <w:uiPriority w:val="62"/>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5D1"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shd w:val="clear" w:color="auto" w:fill="FDE5D1"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tcPr>
    </w:tblStylePr>
  </w:style>
  <w:style w:type="table" w:styleId="55">
    <w:name w:val="Medium Shading 1"/>
    <w:basedOn w:val="32"/>
    <w:qFormat/>
    <w:uiPriority w:val="63"/>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nil"/>
          <w:insideV w:val="nil"/>
        </w:tcBorders>
        <w:shd w:val="clear" w:color="auto" w:fill="000000" w:themeFill="text1"/>
      </w:tcPr>
    </w:tblStylePr>
    <w:tblStylePr w:type="lastRow">
      <w:pPr>
        <w:spacing w:before="0" w:after="0" w:line="240" w:lineRule="auto"/>
      </w:pPr>
      <w:rPr>
        <w:b/>
        <w:bCs/>
      </w:rPr>
      <w:tblPr/>
      <w:tcPr>
        <w:tcBorders>
          <w:top w:val="double" w:color="3F3F3F" w:themeColor="text1" w:themeTint="BF" w:sz="6" w:space="0"/>
          <w:left w:val="single" w:color="3F3F3F" w:themeColor="text1" w:themeTint="BF" w:sz="8" w:space="0"/>
          <w:bottom w:val="single" w:color="3F3F3F" w:themeColor="text1" w:themeTint="BF" w:sz="8" w:space="0"/>
          <w:right w:val="single" w:color="3F3F3F"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BFBFBF" w:themeFill="text1" w:themeFillTint="3F"/>
      </w:tcPr>
    </w:tblStylePr>
    <w:tblStylePr w:type="band1Horz">
      <w:tblPr/>
      <w:tcPr>
        <w:tcBorders>
          <w:insideH w:val="nil"/>
          <w:insideV w:val="nil"/>
        </w:tcBorders>
        <w:shd w:val="clear" w:color="auto" w:fill="BFBFBF" w:themeFill="text1" w:themeFillTint="3F"/>
      </w:tcPr>
    </w:tblStylePr>
    <w:tblStylePr w:type="band2Horz">
      <w:tblPr/>
      <w:tcPr>
        <w:tcBorders>
          <w:insideH w:val="nil"/>
          <w:insideV w:val="nil"/>
        </w:tcBorders>
      </w:tcPr>
    </w:tblStylePr>
  </w:style>
  <w:style w:type="table" w:styleId="56">
    <w:name w:val="Medium Shading 1 Accent 1"/>
    <w:basedOn w:val="32"/>
    <w:uiPriority w:val="63"/>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57">
    <w:name w:val="Medium Shading 1 Accent 2"/>
    <w:basedOn w:val="32"/>
    <w:qFormat/>
    <w:uiPriority w:val="63"/>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EFD3D3" w:themeFill="accent2" w:themeFillTint="3F"/>
      </w:tcPr>
    </w:tblStylePr>
    <w:tblStylePr w:type="band1Horz">
      <w:tblPr/>
      <w:tcPr>
        <w:tcBorders>
          <w:insideH w:val="nil"/>
          <w:insideV w:val="nil"/>
        </w:tcBorders>
        <w:shd w:val="clear" w:color="auto" w:fill="EFD3D3" w:themeFill="accent2" w:themeFillTint="3F"/>
      </w:tcPr>
    </w:tblStylePr>
    <w:tblStylePr w:type="band2Horz">
      <w:tblPr/>
      <w:tcPr>
        <w:tcBorders>
          <w:insideH w:val="nil"/>
          <w:insideV w:val="nil"/>
        </w:tcBorders>
      </w:tcPr>
    </w:tblStylePr>
  </w:style>
  <w:style w:type="table" w:styleId="58">
    <w:name w:val="Medium Shading 1 Accent 3"/>
    <w:basedOn w:val="32"/>
    <w:qFormat/>
    <w:uiPriority w:val="63"/>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4CC82" w:themeColor="accent3" w:themeTint="BF" w:sz="6"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59">
    <w:name w:val="Medium Shading 1 Accent 4"/>
    <w:basedOn w:val="32"/>
    <w:qFormat/>
    <w:uiPriority w:val="63"/>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60">
    <w:name w:val="Medium Shading 1 Accent 5"/>
    <w:basedOn w:val="32"/>
    <w:qFormat/>
    <w:uiPriority w:val="63"/>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D2EAF0" w:themeFill="accent5" w:themeFillTint="3F"/>
      </w:tcPr>
    </w:tblStylePr>
    <w:tblStylePr w:type="band1Horz">
      <w:tblPr/>
      <w:tcPr>
        <w:tcBorders>
          <w:insideH w:val="nil"/>
          <w:insideV w:val="nil"/>
        </w:tcBorders>
        <w:shd w:val="clear" w:color="auto" w:fill="D2EAF0" w:themeFill="accent5" w:themeFillTint="3F"/>
      </w:tcPr>
    </w:tblStylePr>
    <w:tblStylePr w:type="band2Horz">
      <w:tblPr/>
      <w:tcPr>
        <w:tcBorders>
          <w:insideH w:val="nil"/>
          <w:insideV w:val="nil"/>
        </w:tcBorders>
      </w:tcPr>
    </w:tblStylePr>
  </w:style>
  <w:style w:type="table" w:styleId="61">
    <w:name w:val="Medium Shading 1 Accent 6"/>
    <w:basedOn w:val="32"/>
    <w:qFormat/>
    <w:uiPriority w:val="63"/>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FDE5D1" w:themeFill="accent6" w:themeFillTint="3F"/>
      </w:tcPr>
    </w:tblStylePr>
    <w:tblStylePr w:type="band1Horz">
      <w:tblPr/>
      <w:tcPr>
        <w:tcBorders>
          <w:insideH w:val="nil"/>
          <w:insideV w:val="nil"/>
        </w:tcBorders>
        <w:shd w:val="clear" w:color="auto" w:fill="FDE5D1" w:themeFill="accent6" w:themeFillTint="3F"/>
      </w:tcPr>
    </w:tblStylePr>
    <w:tblStylePr w:type="band2Horz">
      <w:tblPr/>
      <w:tcPr>
        <w:tcBorders>
          <w:insideH w:val="nil"/>
          <w:insideV w:val="nil"/>
        </w:tcBorders>
      </w:tcPr>
    </w:tblStylePr>
  </w:style>
  <w:style w:type="table" w:styleId="62">
    <w:name w:val="Medium Shading 2"/>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3">
    <w:name w:val="Medium Shading 2 Accent 1"/>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4">
    <w:name w:val="Medium Shading 2 Accent 2"/>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5">
    <w:name w:val="Medium Shading 2 Accent 3"/>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6">
    <w:name w:val="Medium Shading 2 Accent 4"/>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7">
    <w:name w:val="Medium Shading 2 Accent 5"/>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8">
    <w:name w:val="Medium Shading 2 Accent 6"/>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9">
    <w:name w:val="Medium List 1"/>
    <w:basedOn w:val="32"/>
    <w:qFormat/>
    <w:uiPriority w:val="65"/>
    <w:pPr>
      <w:spacing w:after="0" w:line="240" w:lineRule="auto"/>
    </w:pPr>
    <w:rPr>
      <w:color w:val="000000" w:themeColor="text1"/>
      <w14:textFill>
        <w14:solidFill>
          <w14:schemeClr w14:val="tx1"/>
        </w14:solidFill>
      </w14:textFill>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14:textFill>
          <w14:solidFill>
            <w14:schemeClr w14:val="tx2"/>
          </w14:solidFill>
        </w14:textFill>
      </w:rPr>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BFBFBF" w:themeFill="text1" w:themeFillTint="3F"/>
      </w:tcPr>
    </w:tblStylePr>
    <w:tblStylePr w:type="band1Horz">
      <w:tblPr/>
      <w:tcPr>
        <w:shd w:val="clear" w:color="auto" w:fill="BFBFBF" w:themeFill="text1" w:themeFillTint="3F"/>
      </w:tcPr>
    </w:tblStylePr>
  </w:style>
  <w:style w:type="table" w:styleId="70">
    <w:name w:val="Medium List 1 Accent 1"/>
    <w:basedOn w:val="32"/>
    <w:uiPriority w:val="65"/>
    <w:pPr>
      <w:spacing w:after="0" w:line="240" w:lineRule="auto"/>
    </w:pPr>
    <w:rPr>
      <w:color w:val="000000" w:themeColor="text1"/>
      <w14:textFill>
        <w14:solidFill>
          <w14:schemeClr w14:val="tx1"/>
        </w14:solidFill>
      </w14:textFill>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14:textFill>
          <w14:solidFill>
            <w14:schemeClr w14:val="tx2"/>
          </w14:solidFill>
        </w14:textFill>
      </w:rPr>
      <w:tblPr/>
      <w:tcPr>
        <w:tcBorders>
          <w:top w:val="single" w:color="4F81BD" w:themeColor="accent1" w:sz="8" w:space="0"/>
          <w:bottom w:val="single" w:color="4F81BD" w:themeColor="accent1" w:sz="8" w:space="0"/>
        </w:tcBorders>
      </w:tcPr>
    </w:tblStylePr>
    <w:tblStylePr w:type="firstCol">
      <w:rPr>
        <w:b/>
        <w:bCs/>
      </w:r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71">
    <w:name w:val="Medium List 1 Accent 2"/>
    <w:basedOn w:val="32"/>
    <w:qFormat/>
    <w:uiPriority w:val="65"/>
    <w:pPr>
      <w:spacing w:after="0" w:line="240" w:lineRule="auto"/>
    </w:pPr>
    <w:rPr>
      <w:color w:val="000000" w:themeColor="text1"/>
      <w14:textFill>
        <w14:solidFill>
          <w14:schemeClr w14:val="tx1"/>
        </w14:solidFill>
      </w14:textFill>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14:textFill>
          <w14:solidFill>
            <w14:schemeClr w14:val="tx2"/>
          </w14:solidFill>
        </w14:textFill>
      </w:rPr>
      <w:tblPr/>
      <w:tcPr>
        <w:tcBorders>
          <w:top w:val="single" w:color="C0504D" w:themeColor="accent2" w:sz="8" w:space="0"/>
          <w:bottom w:val="single" w:color="C0504D" w:themeColor="accent2" w:sz="8" w:space="0"/>
        </w:tcBorders>
      </w:tcPr>
    </w:tblStylePr>
    <w:tblStylePr w:type="firstCol">
      <w:rPr>
        <w:b/>
        <w:bCs/>
      </w:r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3" w:themeFill="accent2" w:themeFillTint="3F"/>
      </w:tcPr>
    </w:tblStylePr>
    <w:tblStylePr w:type="band1Horz">
      <w:tblPr/>
      <w:tcPr>
        <w:shd w:val="clear" w:color="auto" w:fill="EFD3D3" w:themeFill="accent2" w:themeFillTint="3F"/>
      </w:tcPr>
    </w:tblStylePr>
  </w:style>
  <w:style w:type="table" w:styleId="72">
    <w:name w:val="Medium List 1 Accent 3"/>
    <w:basedOn w:val="32"/>
    <w:qFormat/>
    <w:uiPriority w:val="65"/>
    <w:pPr>
      <w:spacing w:after="0" w:line="240" w:lineRule="auto"/>
    </w:pPr>
    <w:rPr>
      <w:color w:val="000000" w:themeColor="text1"/>
      <w14:textFill>
        <w14:solidFill>
          <w14:schemeClr w14:val="tx1"/>
        </w14:solidFill>
      </w14:textFill>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14:textFill>
          <w14:solidFill>
            <w14:schemeClr w14:val="tx2"/>
          </w14:solidFill>
        </w14:textFill>
      </w:rPr>
      <w:tblPr/>
      <w:tcPr>
        <w:tcBorders>
          <w:top w:val="single" w:color="9BBB59" w:themeColor="accent3" w:sz="8" w:space="0"/>
          <w:bottom w:val="single" w:color="9BBB59" w:themeColor="accent3" w:sz="8" w:space="0"/>
        </w:tcBorders>
      </w:tcPr>
    </w:tblStylePr>
    <w:tblStylePr w:type="firstCol">
      <w:rPr>
        <w:b/>
        <w:bCs/>
      </w:r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73">
    <w:name w:val="Medium List 1 Accent 4"/>
    <w:basedOn w:val="32"/>
    <w:qFormat/>
    <w:uiPriority w:val="65"/>
    <w:pPr>
      <w:spacing w:after="0" w:line="240" w:lineRule="auto"/>
    </w:pPr>
    <w:rPr>
      <w:color w:val="000000" w:themeColor="text1"/>
      <w14:textFill>
        <w14:solidFill>
          <w14:schemeClr w14:val="tx1"/>
        </w14:solidFill>
      </w14:textFill>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14:textFill>
          <w14:solidFill>
            <w14:schemeClr w14:val="tx2"/>
          </w14:solidFill>
        </w14:textFill>
      </w:rPr>
      <w:tblPr/>
      <w:tcPr>
        <w:tcBorders>
          <w:top w:val="single" w:color="8064A2" w:themeColor="accent4" w:sz="8" w:space="0"/>
          <w:bottom w:val="single" w:color="8064A2" w:themeColor="accent4" w:sz="8" w:space="0"/>
        </w:tcBorders>
      </w:tcPr>
    </w:tblStylePr>
    <w:tblStylePr w:type="firstCol">
      <w:rPr>
        <w:b/>
        <w:bCs/>
      </w:r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74">
    <w:name w:val="Medium List 1 Accent 5"/>
    <w:basedOn w:val="32"/>
    <w:qFormat/>
    <w:uiPriority w:val="65"/>
    <w:pPr>
      <w:spacing w:after="0" w:line="240" w:lineRule="auto"/>
    </w:pPr>
    <w:rPr>
      <w:color w:val="000000" w:themeColor="text1"/>
      <w14:textFill>
        <w14:solidFill>
          <w14:schemeClr w14:val="tx1"/>
        </w14:solidFill>
      </w14:textFill>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14:textFill>
          <w14:solidFill>
            <w14:schemeClr w14:val="tx2"/>
          </w14:solidFill>
        </w14:textFill>
      </w:rPr>
      <w:tblPr/>
      <w:tcPr>
        <w:tcBorders>
          <w:top w:val="single" w:color="4BACC6" w:themeColor="accent5" w:sz="8" w:space="0"/>
          <w:bottom w:val="single" w:color="4BACC6" w:themeColor="accent5" w:sz="8" w:space="0"/>
        </w:tcBorders>
      </w:tcPr>
    </w:tblStylePr>
    <w:tblStylePr w:type="firstCol">
      <w:rPr>
        <w:b/>
        <w:bCs/>
      </w:r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0" w:themeFill="accent5" w:themeFillTint="3F"/>
      </w:tcPr>
    </w:tblStylePr>
    <w:tblStylePr w:type="band1Horz">
      <w:tblPr/>
      <w:tcPr>
        <w:shd w:val="clear" w:color="auto" w:fill="D2EAF0" w:themeFill="accent5" w:themeFillTint="3F"/>
      </w:tcPr>
    </w:tblStylePr>
  </w:style>
  <w:style w:type="table" w:styleId="75">
    <w:name w:val="Medium List 1 Accent 6"/>
    <w:basedOn w:val="32"/>
    <w:qFormat/>
    <w:uiPriority w:val="65"/>
    <w:pPr>
      <w:spacing w:after="0" w:line="240" w:lineRule="auto"/>
    </w:pPr>
    <w:rPr>
      <w:color w:val="000000" w:themeColor="text1"/>
      <w14:textFill>
        <w14:solidFill>
          <w14:schemeClr w14:val="tx1"/>
        </w14:solidFill>
      </w14:textFill>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14:textFill>
          <w14:solidFill>
            <w14:schemeClr w14:val="tx2"/>
          </w14:solidFill>
        </w14:textFill>
      </w:rPr>
      <w:tblPr/>
      <w:tcPr>
        <w:tcBorders>
          <w:top w:val="single" w:color="F79646" w:themeColor="accent6" w:sz="8" w:space="0"/>
          <w:bottom w:val="single" w:color="F79646" w:themeColor="accent6" w:sz="8" w:space="0"/>
        </w:tcBorders>
      </w:tcPr>
    </w:tblStylePr>
    <w:tblStylePr w:type="firstCol">
      <w:rPr>
        <w:b/>
        <w:bCs/>
      </w:r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5D1" w:themeFill="accent6" w:themeFillTint="3F"/>
      </w:tcPr>
    </w:tblStylePr>
    <w:tblStylePr w:type="band1Horz">
      <w:tblPr/>
      <w:tcPr>
        <w:shd w:val="clear" w:color="auto" w:fill="FDE5D1" w:themeFill="accent6" w:themeFillTint="3F"/>
      </w:tcPr>
    </w:tblStylePr>
  </w:style>
  <w:style w:type="table" w:styleId="76">
    <w:name w:val="Medium List 2"/>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top w:val="nil"/>
          <w:bottom w:val="nil"/>
          <w:insideH w:val="nil"/>
          <w:insideV w:val="nil"/>
        </w:tcBorders>
        <w:shd w:val="clear" w:color="auto" w:fill="BFBFBF"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77">
    <w:name w:val="Medium List 2 Accent 1"/>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78">
    <w:name w:val="Medium List 2 Accent 2"/>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top w:val="nil"/>
          <w:bottom w:val="nil"/>
          <w:insideH w:val="nil"/>
          <w:insideV w:val="nil"/>
        </w:tcBorders>
        <w:shd w:val="clear" w:color="auto" w:fill="EFD3D3"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79">
    <w:name w:val="Medium List 2 Accent 3"/>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80">
    <w:name w:val="Medium List 2 Accent 4"/>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81">
    <w:name w:val="Medium List 2 Accent 5"/>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top w:val="nil"/>
          <w:bottom w:val="nil"/>
          <w:insideH w:val="nil"/>
          <w:insideV w:val="nil"/>
        </w:tcBorders>
        <w:shd w:val="clear" w:color="auto" w:fill="D2EA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82">
    <w:name w:val="Medium List 2 Accent 6"/>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top w:val="nil"/>
          <w:bottom w:val="nil"/>
          <w:insideH w:val="nil"/>
          <w:insideV w:val="nil"/>
        </w:tcBorders>
        <w:shd w:val="clear" w:color="auto" w:fill="FDE5D1"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83">
    <w:name w:val="Medium Grid 1"/>
    <w:basedOn w:val="32"/>
    <w:qFormat/>
    <w:uiPriority w:val="67"/>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insideV w:val="single" w:color="3F3F3F" w:themeColor="text1" w:themeTint="BF" w:sz="8" w:space="0"/>
      </w:tblBorders>
      <w:tblCellMar>
        <w:top w:w="0" w:type="dxa"/>
        <w:left w:w="108" w:type="dxa"/>
        <w:bottom w:w="0" w:type="dxa"/>
        <w:right w:w="108" w:type="dxa"/>
      </w:tblCellMar>
    </w:tblPr>
    <w:tcPr>
      <w:shd w:val="clear" w:color="auto" w:fill="BFBFBF" w:themeFill="text1" w:themeFillTint="3F"/>
    </w:tcPr>
    <w:tblStylePr w:type="firstRow">
      <w:rPr>
        <w:b/>
        <w:bCs/>
      </w:rPr>
    </w:tblStylePr>
    <w:tblStylePr w:type="lastRow">
      <w:rPr>
        <w:b/>
        <w:bCs/>
      </w:rPr>
      <w:tblPr/>
      <w:tcPr>
        <w:tcBorders>
          <w:top w:val="single" w:color="3F3F3F" w:themeColor="text1" w:themeTint="BF" w:sz="18" w:space="0"/>
        </w:tcBorders>
      </w:tcPr>
    </w:tblStylePr>
    <w:tblStylePr w:type="firstCol">
      <w:rPr>
        <w:b/>
        <w:bCs/>
      </w:rPr>
    </w:tblStylePr>
    <w:tblStylePr w:type="lastCol">
      <w:rPr>
        <w:b/>
        <w:bCs/>
      </w:r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84">
    <w:name w:val="Medium Grid 1 Accent 1"/>
    <w:basedOn w:val="32"/>
    <w:qFormat/>
    <w:uiPriority w:val="67"/>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color="7BA0CD" w:themeColor="accent1" w:themeTint="BF" w:sz="18" w:space="0"/>
        </w:tcBorders>
      </w:tcPr>
    </w:tblStylePr>
    <w:tblStylePr w:type="firstCol">
      <w:rPr>
        <w:b/>
        <w:bCs/>
      </w:rPr>
    </w:tblStylePr>
    <w:tblStylePr w:type="lastCol">
      <w:rPr>
        <w:b/>
        <w:bCs/>
      </w:r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85">
    <w:name w:val="Medium Grid 1 Accent 2"/>
    <w:basedOn w:val="32"/>
    <w:qFormat/>
    <w:uiPriority w:val="67"/>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CellMar>
        <w:top w:w="0" w:type="dxa"/>
        <w:left w:w="108" w:type="dxa"/>
        <w:bottom w:w="0" w:type="dxa"/>
        <w:right w:w="108" w:type="dxa"/>
      </w:tblCellMar>
    </w:tblPr>
    <w:tcPr>
      <w:shd w:val="clear" w:color="auto" w:fill="EFD3D3" w:themeFill="accent2" w:themeFillTint="3F"/>
    </w:tcPr>
    <w:tblStylePr w:type="firstRow">
      <w:rPr>
        <w:b/>
        <w:bCs/>
      </w:rPr>
    </w:tblStylePr>
    <w:tblStylePr w:type="lastRow">
      <w:rPr>
        <w:b/>
        <w:bCs/>
      </w:rPr>
      <w:tblPr/>
      <w:tcPr>
        <w:tcBorders>
          <w:top w:val="single" w:color="CF7B79" w:themeColor="accent2" w:themeTint="BF" w:sz="18" w:space="0"/>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86">
    <w:name w:val="Medium Grid 1 Accent 3"/>
    <w:basedOn w:val="32"/>
    <w:qFormat/>
    <w:uiPriority w:val="67"/>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insideV w:val="single" w:color="B4CC82" w:themeColor="accent3" w:themeTint="BF" w:sz="8" w:space="0"/>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color="B4CC82" w:themeColor="accent3" w:themeTint="BF" w:sz="18" w:space="0"/>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87">
    <w:name w:val="Medium Grid 1 Accent 4"/>
    <w:basedOn w:val="32"/>
    <w:qFormat/>
    <w:uiPriority w:val="67"/>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color="9F8AB9" w:themeColor="accent4" w:themeTint="BF" w:sz="18" w:space="0"/>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88">
    <w:name w:val="Medium Grid 1 Accent 5"/>
    <w:basedOn w:val="32"/>
    <w:qFormat/>
    <w:uiPriority w:val="67"/>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CellMar>
        <w:top w:w="0" w:type="dxa"/>
        <w:left w:w="108" w:type="dxa"/>
        <w:bottom w:w="0" w:type="dxa"/>
        <w:right w:w="108" w:type="dxa"/>
      </w:tblCellMar>
    </w:tblPr>
    <w:tcPr>
      <w:shd w:val="clear" w:color="auto" w:fill="D2EAF0" w:themeFill="accent5" w:themeFillTint="3F"/>
    </w:tcPr>
    <w:tblStylePr w:type="firstRow">
      <w:rPr>
        <w:b/>
        <w:bCs/>
      </w:rPr>
    </w:tblStylePr>
    <w:tblStylePr w:type="lastRow">
      <w:rPr>
        <w:b/>
        <w:bCs/>
      </w:rPr>
      <w:tblPr/>
      <w:tcPr>
        <w:tcBorders>
          <w:top w:val="single" w:color="78C0D4" w:themeColor="accent5" w:themeTint="BF" w:sz="18" w:space="0"/>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89">
    <w:name w:val="Medium Grid 1 Accent 6"/>
    <w:basedOn w:val="32"/>
    <w:qFormat/>
    <w:uiPriority w:val="67"/>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CellMar>
        <w:top w:w="0" w:type="dxa"/>
        <w:left w:w="108" w:type="dxa"/>
        <w:bottom w:w="0" w:type="dxa"/>
        <w:right w:w="108" w:type="dxa"/>
      </w:tblCellMar>
    </w:tblPr>
    <w:tcPr>
      <w:shd w:val="clear" w:color="auto" w:fill="FDE5D1" w:themeFill="accent6" w:themeFillTint="3F"/>
    </w:tcPr>
    <w:tblStylePr w:type="firstRow">
      <w:rPr>
        <w:b/>
        <w:bCs/>
      </w:rPr>
    </w:tblStylePr>
    <w:tblStylePr w:type="lastRow">
      <w:rPr>
        <w:b/>
        <w:bCs/>
      </w:rPr>
      <w:tblPr/>
      <w:tcPr>
        <w:tcBorders>
          <w:top w:val="single" w:color="F9B074" w:themeColor="accent6" w:themeTint="BF" w:sz="18" w:space="0"/>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90">
    <w:name w:val="Medium Grid 2"/>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cPr>
      <w:shd w:val="clear" w:color="auto" w:fill="BFBFBF" w:themeFill="text1" w:themeFillTint="3F"/>
    </w:tcPr>
    <w:tblStylePr w:type="firstRow">
      <w:rPr>
        <w:b/>
        <w:bCs/>
        <w:color w:val="000000" w:themeColor="text1"/>
        <w14:textFill>
          <w14:solidFill>
            <w14:schemeClr w14:val="tx1"/>
          </w14:solidFill>
        </w14:textFill>
      </w:rPr>
      <w:tblPr/>
      <w:tcPr>
        <w:shd w:val="clear" w:color="auto" w:fill="E5E5E5" w:themeFill="tex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7F7F7F" w:themeFill="text1" w:themeFillTint="7F"/>
      </w:tcPr>
    </w:tblStylePr>
    <w:tblStylePr w:type="band1Horz">
      <w:tblPr/>
      <w:tcPr>
        <w:tcBorders>
          <w:insideH w:val="single" w:sz="6" w:space="0"/>
          <w:insideV w:val="single" w:sz="6" w:space="0"/>
        </w:tcBorders>
        <w:shd w:val="clear" w:color="auto" w:fill="7F7F7F" w:themeFill="text1" w:themeFillTint="7F"/>
      </w:tcPr>
    </w:tblStylePr>
    <w:tblStylePr w:type="nwCell">
      <w:tblPr/>
      <w:tcPr>
        <w:shd w:val="clear" w:color="auto" w:fill="FFFFFF" w:themeFill="background1"/>
      </w:tcPr>
    </w:tblStylePr>
  </w:style>
  <w:style w:type="table" w:styleId="91">
    <w:name w:val="Medium Grid 2 Accent 1"/>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14:textFill>
          <w14:solidFill>
            <w14:schemeClr w14:val="tx1"/>
          </w14:solidFill>
        </w14:textFill>
      </w:rPr>
      <w:tblPr/>
      <w:tcPr>
        <w:shd w:val="clear" w:color="auto" w:fill="EDF2F8" w:themeFill="accen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C0DE" w:themeFill="accent1" w:themeFillTint="7F"/>
      </w:tcPr>
    </w:tblStylePr>
    <w:tblStylePr w:type="band1Horz">
      <w:tblPr/>
      <w:tcPr>
        <w:tcBorders>
          <w:insideH w:val="single" w:sz="6" w:space="0"/>
          <w:insideV w:val="single" w:sz="6" w:space="0"/>
        </w:tcBorders>
        <w:shd w:val="clear" w:color="auto" w:fill="A7C0DE" w:themeFill="accent1" w:themeFillTint="7F"/>
      </w:tcPr>
    </w:tblStylePr>
    <w:tblStylePr w:type="nwCell">
      <w:tblPr/>
      <w:tcPr>
        <w:shd w:val="clear" w:color="auto" w:fill="FFFFFF" w:themeFill="background1"/>
      </w:tcPr>
    </w:tblStylePr>
  </w:style>
  <w:style w:type="table" w:styleId="92">
    <w:name w:val="Medium Grid 2 Accent 2"/>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cPr>
      <w:shd w:val="clear" w:color="auto" w:fill="EFD3D3" w:themeFill="accent2" w:themeFillTint="3F"/>
    </w:tcPr>
    <w:tblStylePr w:type="firstRow">
      <w:rPr>
        <w:b/>
        <w:bCs/>
        <w:color w:val="000000" w:themeColor="text1"/>
        <w14:textFill>
          <w14:solidFill>
            <w14:schemeClr w14:val="tx1"/>
          </w14:solidFill>
        </w14:textFill>
      </w:rPr>
      <w:tblPr/>
      <w:tcPr>
        <w:shd w:val="clear" w:color="auto" w:fill="F8EDED" w:themeFill="accent2"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insideV w:val="single" w:sz="6" w:space="0"/>
        </w:tcBorders>
        <w:shd w:val="clear" w:color="auto" w:fill="DFA7A6" w:themeFill="accent2" w:themeFillTint="7F"/>
      </w:tcPr>
    </w:tblStylePr>
    <w:tblStylePr w:type="nwCell">
      <w:tblPr/>
      <w:tcPr>
        <w:shd w:val="clear" w:color="auto" w:fill="FFFFFF" w:themeFill="background1"/>
      </w:tcPr>
    </w:tblStylePr>
  </w:style>
  <w:style w:type="table" w:styleId="93">
    <w:name w:val="Medium Grid 2 Accent 3"/>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14:textFill>
          <w14:solidFill>
            <w14:schemeClr w14:val="tx1"/>
          </w14:solidFill>
        </w14:textFill>
      </w:rPr>
      <w:tblPr/>
      <w:tcPr>
        <w:shd w:val="clear" w:color="auto" w:fill="F5F8EE" w:themeFill="accent3"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insideV w:val="single" w:sz="6" w:space="0"/>
        </w:tcBorders>
        <w:shd w:val="clear" w:color="auto" w:fill="CDDDAC" w:themeFill="accent3" w:themeFillTint="7F"/>
      </w:tcPr>
    </w:tblStylePr>
    <w:tblStylePr w:type="nwCell">
      <w:tblPr/>
      <w:tcPr>
        <w:shd w:val="clear" w:color="auto" w:fill="FFFFFF" w:themeFill="background1"/>
      </w:tcPr>
    </w:tblStylePr>
  </w:style>
  <w:style w:type="table" w:styleId="94">
    <w:name w:val="Medium Grid 2 Accent 4"/>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14:textFill>
          <w14:solidFill>
            <w14:schemeClr w14:val="tx1"/>
          </w14:solidFill>
        </w14:textFill>
      </w:rPr>
      <w:tblPr/>
      <w:tcPr>
        <w:shd w:val="clear" w:color="auto" w:fill="F2EFF5" w:themeFill="accent4"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insideV w:val="single" w:sz="6" w:space="0"/>
        </w:tcBorders>
        <w:shd w:val="clear" w:color="auto" w:fill="BFB1D0" w:themeFill="accent4" w:themeFillTint="7F"/>
      </w:tcPr>
    </w:tblStylePr>
    <w:tblStylePr w:type="nwCell">
      <w:tblPr/>
      <w:tcPr>
        <w:shd w:val="clear" w:color="auto" w:fill="FFFFFF" w:themeFill="background1"/>
      </w:tcPr>
    </w:tblStylePr>
  </w:style>
  <w:style w:type="table" w:styleId="95">
    <w:name w:val="Medium Grid 2 Accent 5"/>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cPr>
      <w:shd w:val="clear" w:color="auto" w:fill="D2EAF0" w:themeFill="accent5" w:themeFillTint="3F"/>
    </w:tcPr>
    <w:tblStylePr w:type="firstRow">
      <w:rPr>
        <w:b/>
        <w:bCs/>
        <w:color w:val="000000" w:themeColor="text1"/>
        <w14:textFill>
          <w14:solidFill>
            <w14:schemeClr w14:val="tx1"/>
          </w14:solidFill>
        </w14:textFill>
      </w:rPr>
      <w:tblPr/>
      <w:tcPr>
        <w:shd w:val="clear" w:color="auto" w:fill="EDF6F9" w:themeFill="accent5"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insideV w:val="single" w:sz="6" w:space="0"/>
        </w:tcBorders>
        <w:shd w:val="clear" w:color="auto" w:fill="A5D5E2" w:themeFill="accent5" w:themeFillTint="7F"/>
      </w:tcPr>
    </w:tblStylePr>
    <w:tblStylePr w:type="nwCell">
      <w:tblPr/>
      <w:tcPr>
        <w:shd w:val="clear" w:color="auto" w:fill="FFFFFF" w:themeFill="background1"/>
      </w:tcPr>
    </w:tblStylePr>
  </w:style>
  <w:style w:type="table" w:styleId="96">
    <w:name w:val="Medium Grid 2 Accent 6"/>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cPr>
      <w:shd w:val="clear" w:color="auto" w:fill="FDE5D1" w:themeFill="accent6" w:themeFillTint="3F"/>
    </w:tcPr>
    <w:tblStylePr w:type="firstRow">
      <w:rPr>
        <w:b/>
        <w:bCs/>
        <w:color w:val="000000" w:themeColor="text1"/>
        <w14:textFill>
          <w14:solidFill>
            <w14:schemeClr w14:val="tx1"/>
          </w14:solidFill>
        </w14:textFill>
      </w:rPr>
      <w:tblPr/>
      <w:tcPr>
        <w:shd w:val="clear" w:color="auto" w:fill="FEF4EC" w:themeFill="accent6"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insideV w:val="single" w:sz="6" w:space="0"/>
        </w:tcBorders>
        <w:shd w:val="clear" w:color="auto" w:fill="FBCAA2" w:themeFill="accent6" w:themeFillTint="7F"/>
      </w:tcPr>
    </w:tblStylePr>
    <w:tblStylePr w:type="nwCell">
      <w:tblPr/>
      <w:tcPr>
        <w:shd w:val="clear" w:color="auto" w:fill="FFFFFF" w:themeFill="background1"/>
      </w:tcPr>
    </w:tblStylePr>
  </w:style>
  <w:style w:type="table" w:styleId="97">
    <w:name w:val="Medium Grid 3"/>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BFBFBF" w:themeFill="tex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000000" w:themeFill="tex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000000" w:themeFill="tex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7F7F7F"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7F7F7F" w:themeFill="text1" w:themeFillTint="7F"/>
      </w:tcPr>
    </w:tblStylePr>
  </w:style>
  <w:style w:type="table" w:styleId="98">
    <w:name w:val="Medium Grid 3 Accent 1"/>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F81BD" w:themeFill="accen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F81BD" w:themeFill="accen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C0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7C0DE" w:themeFill="accent1" w:themeFillTint="7F"/>
      </w:tcPr>
    </w:tblStylePr>
  </w:style>
  <w:style w:type="table" w:styleId="99">
    <w:name w:val="Medium Grid 3 Accent 2"/>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FD3D3" w:themeFill="accent2"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C0504D" w:themeFill="accent2"/>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C0504D" w:themeFill="accent2"/>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DFA7A6" w:themeFill="accent2" w:themeFillTint="7F"/>
      </w:tcPr>
    </w:tblStylePr>
  </w:style>
  <w:style w:type="table" w:styleId="100">
    <w:name w:val="Medium Grid 3 Accent 3"/>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9BBB59" w:themeFill="accent3"/>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9BBB59" w:themeFill="accent3"/>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CDDDAC" w:themeFill="accent3" w:themeFillTint="7F"/>
      </w:tcPr>
    </w:tblStylePr>
  </w:style>
  <w:style w:type="table" w:styleId="101">
    <w:name w:val="Medium Grid 3 Accent 4"/>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8064A2" w:themeFill="accent4"/>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8064A2" w:themeFill="accent4"/>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BFB1D0" w:themeFill="accent4" w:themeFillTint="7F"/>
      </w:tcPr>
    </w:tblStylePr>
  </w:style>
  <w:style w:type="table" w:styleId="102">
    <w:name w:val="Medium Grid 3 Accent 5"/>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2EAF0" w:themeFill="accent5"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BACC6" w:themeFill="accent5"/>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BACC6" w:themeFill="accent5"/>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5D5E2" w:themeFill="accent5" w:themeFillTint="7F"/>
      </w:tcPr>
    </w:tblStylePr>
  </w:style>
  <w:style w:type="table" w:styleId="103">
    <w:name w:val="Medium Grid 3 Accent 6"/>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FDE5D1" w:themeFill="accent6"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F79646" w:themeFill="accent6"/>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F79646" w:themeFill="accent6"/>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FBCAA2" w:themeFill="accent6" w:themeFillTint="7F"/>
      </w:tcPr>
    </w:tblStylePr>
  </w:style>
  <w:style w:type="table" w:styleId="104">
    <w:name w:val="Dark List"/>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05">
    <w:name w:val="Dark List Accent 1"/>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1"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60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6091" w:themeFill="accent1" w:themeFillShade="BF"/>
      </w:tcPr>
    </w:tblStylePr>
    <w:tblStylePr w:type="band1Vert">
      <w:tblPr/>
      <w:tcPr>
        <w:tcBorders>
          <w:top w:val="nil"/>
          <w:left w:val="nil"/>
          <w:bottom w:val="nil"/>
          <w:right w:val="nil"/>
          <w:insideH w:val="nil"/>
          <w:insideV w:val="nil"/>
        </w:tcBorders>
        <w:shd w:val="clear" w:color="auto" w:fill="366091" w:themeFill="accent1" w:themeFillShade="BF"/>
      </w:tcPr>
    </w:tblStylePr>
    <w:tblStylePr w:type="band1Horz">
      <w:tblPr/>
      <w:tcPr>
        <w:tcBorders>
          <w:top w:val="nil"/>
          <w:left w:val="nil"/>
          <w:bottom w:val="nil"/>
          <w:right w:val="nil"/>
          <w:insideH w:val="nil"/>
          <w:insideV w:val="nil"/>
        </w:tcBorders>
        <w:shd w:val="clear" w:color="auto" w:fill="366091" w:themeFill="accent1" w:themeFillShade="BF"/>
      </w:tcPr>
    </w:tblStylePr>
  </w:style>
  <w:style w:type="table" w:styleId="106">
    <w:name w:val="Dark List Accent 2"/>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7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734" w:themeFill="accent2" w:themeFillShade="BF"/>
      </w:tcPr>
    </w:tblStylePr>
    <w:tblStylePr w:type="band1Vert">
      <w:tblPr/>
      <w:tcPr>
        <w:tcBorders>
          <w:top w:val="nil"/>
          <w:left w:val="nil"/>
          <w:bottom w:val="nil"/>
          <w:right w:val="nil"/>
          <w:insideH w:val="nil"/>
          <w:insideV w:val="nil"/>
        </w:tcBorders>
        <w:shd w:val="clear" w:color="auto" w:fill="943734" w:themeFill="accent2" w:themeFillShade="BF"/>
      </w:tcPr>
    </w:tblStylePr>
    <w:tblStylePr w:type="band1Horz">
      <w:tblPr/>
      <w:tcPr>
        <w:tcBorders>
          <w:top w:val="nil"/>
          <w:left w:val="nil"/>
          <w:bottom w:val="nil"/>
          <w:right w:val="nil"/>
          <w:insideH w:val="nil"/>
          <w:insideV w:val="nil"/>
        </w:tcBorders>
        <w:shd w:val="clear" w:color="auto" w:fill="943734" w:themeFill="accent2" w:themeFillShade="BF"/>
      </w:tcPr>
    </w:tblStylePr>
  </w:style>
  <w:style w:type="table" w:styleId="107">
    <w:name w:val="Dark List Accent 3"/>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7"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108">
    <w:name w:val="Dark List Accent 4"/>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0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109">
    <w:name w:val="Dark List Accent 5"/>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110">
    <w:name w:val="Dark List Accent 6"/>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9"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9" w:themeFill="accent6" w:themeFillShade="BF"/>
      </w:tcPr>
    </w:tblStylePr>
    <w:tblStylePr w:type="band1Vert">
      <w:tblPr/>
      <w:tcPr>
        <w:tcBorders>
          <w:top w:val="nil"/>
          <w:left w:val="nil"/>
          <w:bottom w:val="nil"/>
          <w:right w:val="nil"/>
          <w:insideH w:val="nil"/>
          <w:insideV w:val="nil"/>
        </w:tcBorders>
        <w:shd w:val="clear" w:color="auto" w:fill="E36C09" w:themeFill="accent6" w:themeFillShade="BF"/>
      </w:tcPr>
    </w:tblStylePr>
    <w:tblStylePr w:type="band1Horz">
      <w:tblPr/>
      <w:tcPr>
        <w:tcBorders>
          <w:top w:val="nil"/>
          <w:left w:val="nil"/>
          <w:bottom w:val="nil"/>
          <w:right w:val="nil"/>
          <w:insideH w:val="nil"/>
          <w:insideV w:val="nil"/>
        </w:tcBorders>
        <w:shd w:val="clear" w:color="auto" w:fill="E36C09" w:themeFill="accent6" w:themeFillShade="BF"/>
      </w:tcPr>
    </w:tblStylePr>
  </w:style>
  <w:style w:type="table" w:styleId="111">
    <w:name w:val="Colorful Shading"/>
    <w:basedOn w:val="32"/>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5E5E5"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000000" w:themeFill="tex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000000" w:themeFill="tex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7F7F7F" w:themeFill="tex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2">
    <w:name w:val="Colorful Shading Accent 1"/>
    <w:basedOn w:val="32"/>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B4D74" w:themeFill="accen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B4D74" w:themeFill="accen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B4D74" w:themeFill="accent1" w:themeFillShade="99"/>
      </w:tcPr>
    </w:tblStylePr>
    <w:tblStylePr w:type="band1Vert">
      <w:tblPr/>
      <w:tcPr>
        <w:shd w:val="clear" w:color="auto" w:fill="B8CCE4" w:themeFill="accent1" w:themeFillTint="66"/>
      </w:tcPr>
    </w:tblStylePr>
    <w:tblStylePr w:type="band1Horz">
      <w:tblPr/>
      <w:tcPr>
        <w:shd w:val="clear" w:color="auto" w:fill="A7C0DE" w:themeFill="accen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3">
    <w:name w:val="Colorful Shading Accent 2"/>
    <w:basedOn w:val="32"/>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772C2A" w:themeFill="accent2"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772C2A" w:themeFill="accent2"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4">
    <w:name w:val="Colorful Shading Accent 3"/>
    <w:basedOn w:val="32"/>
    <w:qFormat/>
    <w:uiPriority w:val="71"/>
    <w:pPr>
      <w:spacing w:after="0" w:line="240" w:lineRule="auto"/>
    </w:pPr>
    <w:rPr>
      <w:color w:val="000000" w:themeColor="text1"/>
      <w14:textFill>
        <w14:solidFill>
          <w14:schemeClr w14:val="tx1"/>
        </w14:solidFill>
      </w14:textFill>
    </w:rPr>
    <w:tblPr>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5E7530" w:themeFill="accent3"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5E7530" w:themeFill="accent3"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115">
    <w:name w:val="Colorful Shading Accent 4"/>
    <w:basedOn w:val="32"/>
    <w:qFormat/>
    <w:uiPriority w:val="71"/>
    <w:pPr>
      <w:spacing w:after="0" w:line="240" w:lineRule="auto"/>
    </w:pPr>
    <w:rPr>
      <w:color w:val="000000" w:themeColor="text1"/>
      <w14:textFill>
        <w14:solidFill>
          <w14:schemeClr w14:val="tx1"/>
        </w14:solidFill>
      </w14:textFill>
    </w:rPr>
    <w:tblPr>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2EFF5"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4C3A62" w:themeFill="accent4"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4C3A62" w:themeFill="accent4"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4C3A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6">
    <w:name w:val="Colorful Shading Accent 5"/>
    <w:basedOn w:val="32"/>
    <w:uiPriority w:val="71"/>
    <w:pPr>
      <w:spacing w:after="0" w:line="240" w:lineRule="auto"/>
    </w:pPr>
    <w:rPr>
      <w:color w:val="000000" w:themeColor="text1"/>
      <w14:textFill>
        <w14:solidFill>
          <w14:schemeClr w14:val="tx1"/>
        </w14:solidFill>
      </w14:textFill>
    </w:rPr>
    <w:tblPr>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76A7C" w:themeFill="accent5"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76A7C" w:themeFill="accent5"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7">
    <w:name w:val="Colorful Shading Accent 6"/>
    <w:basedOn w:val="32"/>
    <w:qFormat/>
    <w:uiPriority w:val="71"/>
    <w:pPr>
      <w:spacing w:after="0" w:line="240" w:lineRule="auto"/>
    </w:pPr>
    <w:rPr>
      <w:color w:val="000000" w:themeColor="text1"/>
      <w14:textFill>
        <w14:solidFill>
          <w14:schemeClr w14:val="tx1"/>
        </w14:solidFill>
      </w14:textFill>
    </w:rPr>
    <w:tblPr>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B65607" w:themeFill="accent6"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B65607" w:themeFill="accent6"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B65607"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8">
    <w:name w:val="Colorful List"/>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5E5E5" w:themeFill="tex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FBFBF" w:themeFill="text1" w:themeFillTint="3F"/>
      </w:tcPr>
    </w:tblStylePr>
    <w:tblStylePr w:type="band1Horz">
      <w:tblPr/>
      <w:tcPr>
        <w:shd w:val="clear" w:color="auto" w:fill="CCCCCC" w:themeFill="text1" w:themeFillTint="33"/>
      </w:tcPr>
    </w:tblStylePr>
  </w:style>
  <w:style w:type="table" w:styleId="119">
    <w:name w:val="Colorful List Accent 1"/>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120">
    <w:name w:val="Colorful List Accent 2"/>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3" w:themeFill="accent2" w:themeFillTint="3F"/>
      </w:tcPr>
    </w:tblStylePr>
    <w:tblStylePr w:type="band1Horz">
      <w:tblPr/>
      <w:tcPr>
        <w:shd w:val="clear" w:color="auto" w:fill="F2DBDB" w:themeFill="accent2" w:themeFillTint="33"/>
      </w:tcPr>
    </w:tblStylePr>
  </w:style>
  <w:style w:type="table" w:styleId="121">
    <w:name w:val="Colorful List Accent 3"/>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664E82" w:themeFill="accent4" w:themeFillShade="CC"/>
      </w:tcPr>
    </w:tblStylePr>
    <w:tblStylePr w:type="lastRow">
      <w:rPr>
        <w:b/>
        <w:bCs/>
        <w:color w:val="664F83"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122">
    <w:name w:val="Colorful List Accent 4"/>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2EFF5" w:themeFill="accent4"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7E9C40" w:themeFill="accent3" w:themeFillShade="CC"/>
      </w:tcPr>
    </w:tblStylePr>
    <w:tblStylePr w:type="lastRow">
      <w:rPr>
        <w:b/>
        <w:bCs/>
        <w:color w:val="7E9D40"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123">
    <w:name w:val="Colorful List Accent 5"/>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F3730A" w:themeFill="accent6" w:themeFillShade="CC"/>
      </w:tcPr>
    </w:tblStylePr>
    <w:tblStylePr w:type="lastRow">
      <w:rPr>
        <w:b/>
        <w:bCs/>
        <w:color w:val="F3740B"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0" w:themeFill="accent5" w:themeFillTint="3F"/>
      </w:tcPr>
    </w:tblStylePr>
    <w:tblStylePr w:type="band1Horz">
      <w:tblPr/>
      <w:tcPr>
        <w:shd w:val="clear" w:color="auto" w:fill="DAEEF3" w:themeFill="accent5" w:themeFillTint="33"/>
      </w:tcPr>
    </w:tblStylePr>
  </w:style>
  <w:style w:type="table" w:styleId="124">
    <w:name w:val="Colorful List Accent 6"/>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348DA5" w:themeFill="accent5" w:themeFillShade="CC"/>
      </w:tcPr>
    </w:tblStylePr>
    <w:tblStylePr w:type="lastRow">
      <w:rPr>
        <w:b/>
        <w:bCs/>
        <w:color w:val="358EA6"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5D1" w:themeFill="accent6" w:themeFillTint="3F"/>
      </w:tcPr>
    </w:tblStylePr>
    <w:tblStylePr w:type="band1Horz">
      <w:tblPr/>
      <w:tcPr>
        <w:shd w:val="clear" w:color="auto" w:fill="FDE9D9" w:themeFill="accent6" w:themeFillTint="33"/>
      </w:tcPr>
    </w:tblStylePr>
  </w:style>
  <w:style w:type="table" w:styleId="125">
    <w:name w:val="Colorful Grid"/>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14:textFill>
          <w14:solidFill>
            <w14:schemeClr w14:val="tx1"/>
          </w14:solidFill>
        </w14:textFill>
      </w:rPr>
      <w:tblPr/>
      <w:tcPr>
        <w:shd w:val="clear" w:color="auto" w:fill="999999" w:themeFill="text1" w:themeFillTint="66"/>
      </w:tcPr>
    </w:tblStylePr>
    <w:tblStylePr w:type="firstCol">
      <w:rPr>
        <w:color w:val="FFFFFF" w:themeColor="background1"/>
        <w14:textFill>
          <w14:solidFill>
            <w14:schemeClr w14:val="bg1"/>
          </w14:solidFill>
        </w14:textFill>
      </w:rPr>
      <w:tblPr/>
      <w:tcPr>
        <w:shd w:val="clear" w:color="auto" w:fill="000000" w:themeFill="text1" w:themeFillShade="BF"/>
      </w:tcPr>
    </w:tblStylePr>
    <w:tblStylePr w:type="lastCol">
      <w:rPr>
        <w:color w:val="FFFFFF" w:themeColor="background1"/>
        <w14:textFill>
          <w14:solidFill>
            <w14:schemeClr w14:val="bg1"/>
          </w14:solidFill>
        </w14:textFill>
      </w:rPr>
      <w:tblPr/>
      <w:tcPr>
        <w:shd w:val="clear" w:color="auto" w:fill="000000" w:themeFill="text1" w:themeFillShade="BF"/>
      </w:tc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126">
    <w:name w:val="Colorful Grid Accent 1"/>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14:textFill>
          <w14:solidFill>
            <w14:schemeClr w14:val="tx1"/>
          </w14:solidFill>
        </w14:textFill>
      </w:rPr>
      <w:tblPr/>
      <w:tcPr>
        <w:shd w:val="clear" w:color="auto" w:fill="B8CCE4" w:themeFill="accent1" w:themeFillTint="66"/>
      </w:tcPr>
    </w:tblStylePr>
    <w:tblStylePr w:type="firstCol">
      <w:rPr>
        <w:color w:val="FFFFFF" w:themeColor="background1"/>
        <w14:textFill>
          <w14:solidFill>
            <w14:schemeClr w14:val="bg1"/>
          </w14:solidFill>
        </w14:textFill>
      </w:rPr>
      <w:tblPr/>
      <w:tcPr>
        <w:shd w:val="clear" w:color="auto" w:fill="366091" w:themeFill="accent1" w:themeFillShade="BF"/>
      </w:tcPr>
    </w:tblStylePr>
    <w:tblStylePr w:type="lastCol">
      <w:rPr>
        <w:color w:val="FFFFFF" w:themeColor="background1"/>
        <w14:textFill>
          <w14:solidFill>
            <w14:schemeClr w14:val="bg1"/>
          </w14:solidFill>
        </w14:textFill>
      </w:rPr>
      <w:tblPr/>
      <w:tcPr>
        <w:shd w:val="clear" w:color="auto" w:fill="366091" w:themeFill="accent1" w:themeFillShade="BF"/>
      </w:tc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127">
    <w:name w:val="Colorful Grid Accent 2"/>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14:textFill>
          <w14:solidFill>
            <w14:schemeClr w14:val="tx1"/>
          </w14:solidFill>
        </w14:textFill>
      </w:rPr>
      <w:tblPr/>
      <w:tcPr>
        <w:shd w:val="clear" w:color="auto" w:fill="E5B8B7" w:themeFill="accent2" w:themeFillTint="66"/>
      </w:tcPr>
    </w:tblStylePr>
    <w:tblStylePr w:type="firstCol">
      <w:rPr>
        <w:color w:val="FFFFFF" w:themeColor="background1"/>
        <w14:textFill>
          <w14:solidFill>
            <w14:schemeClr w14:val="bg1"/>
          </w14:solidFill>
        </w14:textFill>
      </w:rPr>
      <w:tblPr/>
      <w:tcPr>
        <w:shd w:val="clear" w:color="auto" w:fill="943734" w:themeFill="accent2" w:themeFillShade="BF"/>
      </w:tcPr>
    </w:tblStylePr>
    <w:tblStylePr w:type="lastCol">
      <w:rPr>
        <w:color w:val="FFFFFF" w:themeColor="background1"/>
        <w14:textFill>
          <w14:solidFill>
            <w14:schemeClr w14:val="bg1"/>
          </w14:solidFill>
        </w14:textFill>
      </w:rPr>
      <w:tblPr/>
      <w:tcPr>
        <w:shd w:val="clear" w:color="auto" w:fill="9437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28">
    <w:name w:val="Colorful Grid Accent 3"/>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14:textFill>
          <w14:solidFill>
            <w14:schemeClr w14:val="tx1"/>
          </w14:solidFill>
        </w14:textFill>
      </w:rPr>
      <w:tblPr/>
      <w:tcPr>
        <w:shd w:val="clear" w:color="auto" w:fill="D6E3BC" w:themeFill="accent3" w:themeFillTint="66"/>
      </w:tcPr>
    </w:tblStylePr>
    <w:tblStylePr w:type="firstCol">
      <w:rPr>
        <w:color w:val="FFFFFF" w:themeColor="background1"/>
        <w14:textFill>
          <w14:solidFill>
            <w14:schemeClr w14:val="bg1"/>
          </w14:solidFill>
        </w14:textFill>
      </w:rPr>
      <w:tblPr/>
      <w:tcPr>
        <w:shd w:val="clear" w:color="auto" w:fill="76923C" w:themeFill="accent3" w:themeFillShade="BF"/>
      </w:tcPr>
    </w:tblStylePr>
    <w:tblStylePr w:type="lastCol">
      <w:rPr>
        <w:color w:val="FFFFFF" w:themeColor="background1"/>
        <w14:textFill>
          <w14:solidFill>
            <w14:schemeClr w14:val="bg1"/>
          </w14:solidFill>
        </w14:textFill>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29">
    <w:name w:val="Colorful Grid Accent 4"/>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14:textFill>
          <w14:solidFill>
            <w14:schemeClr w14:val="tx1"/>
          </w14:solidFill>
        </w14:textFill>
      </w:rPr>
      <w:tblPr/>
      <w:tcPr>
        <w:shd w:val="clear" w:color="auto" w:fill="CCC0D9" w:themeFill="accent4" w:themeFillTint="66"/>
      </w:tcPr>
    </w:tblStylePr>
    <w:tblStylePr w:type="firstCol">
      <w:rPr>
        <w:color w:val="FFFFFF" w:themeColor="background1"/>
        <w14:textFill>
          <w14:solidFill>
            <w14:schemeClr w14:val="bg1"/>
          </w14:solidFill>
        </w14:textFill>
      </w:rPr>
      <w:tblPr/>
      <w:tcPr>
        <w:shd w:val="clear" w:color="auto" w:fill="5F497A" w:themeFill="accent4" w:themeFillShade="BF"/>
      </w:tcPr>
    </w:tblStylePr>
    <w:tblStylePr w:type="lastCol">
      <w:rPr>
        <w:color w:val="FFFFFF" w:themeColor="background1"/>
        <w14:textFill>
          <w14:solidFill>
            <w14:schemeClr w14:val="bg1"/>
          </w14:solidFill>
        </w14:textFill>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30">
    <w:name w:val="Colorful Grid Accent 5"/>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14:textFill>
          <w14:solidFill>
            <w14:schemeClr w14:val="tx1"/>
          </w14:solidFill>
        </w14:textFill>
      </w:rPr>
      <w:tblPr/>
      <w:tcPr>
        <w:shd w:val="clear" w:color="auto" w:fill="B6DDE8" w:themeFill="accent5" w:themeFillTint="66"/>
      </w:tcPr>
    </w:tblStylePr>
    <w:tblStylePr w:type="firstCol">
      <w:rPr>
        <w:color w:val="FFFFFF" w:themeColor="background1"/>
        <w14:textFill>
          <w14:solidFill>
            <w14:schemeClr w14:val="bg1"/>
          </w14:solidFill>
        </w14:textFill>
      </w:rPr>
      <w:tblPr/>
      <w:tcPr>
        <w:shd w:val="clear" w:color="auto" w:fill="31849B" w:themeFill="accent5" w:themeFillShade="BF"/>
      </w:tcPr>
    </w:tblStylePr>
    <w:tblStylePr w:type="lastCol">
      <w:rPr>
        <w:color w:val="FFFFFF" w:themeColor="background1"/>
        <w14:textFill>
          <w14:solidFill>
            <w14:schemeClr w14:val="bg1"/>
          </w14:solidFill>
        </w14:textFill>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31">
    <w:name w:val="Colorful Grid Accent 6"/>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14:textFill>
          <w14:solidFill>
            <w14:schemeClr w14:val="tx1"/>
          </w14:solidFill>
        </w14:textFill>
      </w:rPr>
      <w:tblPr/>
      <w:tcPr>
        <w:shd w:val="clear" w:color="auto" w:fill="FBD4B4" w:themeFill="accent6" w:themeFillTint="66"/>
      </w:tcPr>
    </w:tblStylePr>
    <w:tblStylePr w:type="firstCol">
      <w:rPr>
        <w:color w:val="FFFFFF" w:themeColor="background1"/>
        <w14:textFill>
          <w14:solidFill>
            <w14:schemeClr w14:val="bg1"/>
          </w14:solidFill>
        </w14:textFill>
      </w:rPr>
      <w:tblPr/>
      <w:tcPr>
        <w:shd w:val="clear" w:color="auto" w:fill="E36C09" w:themeFill="accent6" w:themeFillShade="BF"/>
      </w:tcPr>
    </w:tblStylePr>
    <w:tblStylePr w:type="lastCol">
      <w:rPr>
        <w:color w:val="FFFFFF" w:themeColor="background1"/>
        <w14:textFill>
          <w14:solidFill>
            <w14:schemeClr w14:val="bg1"/>
          </w14:solidFill>
        </w14:textFill>
      </w:rPr>
      <w:tblPr/>
      <w:tcPr>
        <w:shd w:val="clear" w:color="auto" w:fill="E36C09"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133">
    <w:name w:val="Strong"/>
    <w:basedOn w:val="132"/>
    <w:qFormat/>
    <w:uiPriority w:val="22"/>
    <w:rPr>
      <w:b/>
      <w:bCs/>
    </w:rPr>
  </w:style>
  <w:style w:type="character" w:styleId="134">
    <w:name w:val="Emphasis"/>
    <w:basedOn w:val="132"/>
    <w:qFormat/>
    <w:uiPriority w:val="20"/>
    <w:rPr>
      <w:i/>
      <w:iCs/>
    </w:rPr>
  </w:style>
  <w:style w:type="character" w:styleId="135">
    <w:name w:val="Hyperlink"/>
    <w:basedOn w:val="132"/>
    <w:semiHidden/>
    <w:unhideWhenUsed/>
    <w:uiPriority w:val="99"/>
    <w:rPr>
      <w:color w:val="0000FF"/>
      <w:u w:val="single"/>
    </w:rPr>
  </w:style>
  <w:style w:type="character" w:customStyle="1" w:styleId="136">
    <w:name w:val="Header Char"/>
    <w:basedOn w:val="132"/>
    <w:link w:val="25"/>
    <w:qFormat/>
    <w:uiPriority w:val="99"/>
  </w:style>
  <w:style w:type="character" w:customStyle="1" w:styleId="137">
    <w:name w:val="Footer Char"/>
    <w:basedOn w:val="132"/>
    <w:link w:val="24"/>
    <w:qFormat/>
    <w:uiPriority w:val="99"/>
  </w:style>
  <w:style w:type="paragraph" w:styleId="138">
    <w:name w:val="No Spacing"/>
    <w:qFormat/>
    <w:uiPriority w:val="1"/>
    <w:pPr>
      <w:spacing w:after="0" w:line="240" w:lineRule="auto"/>
    </w:pPr>
    <w:rPr>
      <w:rFonts w:asciiTheme="minorHAnsi" w:hAnsiTheme="minorHAnsi" w:eastAsiaTheme="minorEastAsia" w:cstheme="minorBidi"/>
      <w:sz w:val="22"/>
      <w:szCs w:val="22"/>
      <w:lang w:val="en-US" w:eastAsia="en-US" w:bidi="ar-SA"/>
    </w:rPr>
  </w:style>
  <w:style w:type="character" w:customStyle="1" w:styleId="139">
    <w:name w:val="Heading 1 Char"/>
    <w:basedOn w:val="132"/>
    <w:link w:val="3"/>
    <w:uiPriority w:val="9"/>
    <w:rPr>
      <w:rFonts w:asciiTheme="majorHAnsi" w:hAnsiTheme="majorHAnsi" w:eastAsiaTheme="majorEastAsia" w:cstheme="majorBidi"/>
      <w:b/>
      <w:bCs/>
      <w:color w:val="376092" w:themeColor="accent1" w:themeShade="BF"/>
      <w:sz w:val="28"/>
      <w:szCs w:val="28"/>
    </w:rPr>
  </w:style>
  <w:style w:type="character" w:customStyle="1" w:styleId="140">
    <w:name w:val="Heading 2 Char"/>
    <w:basedOn w:val="132"/>
    <w:link w:val="4"/>
    <w:uiPriority w:val="9"/>
    <w:rPr>
      <w:rFonts w:asciiTheme="majorHAnsi" w:hAnsiTheme="majorHAnsi" w:eastAsiaTheme="majorEastAsia" w:cstheme="majorBidi"/>
      <w:b/>
      <w:bCs/>
      <w:color w:val="4F81BD" w:themeColor="accent1"/>
      <w:sz w:val="26"/>
      <w:szCs w:val="26"/>
      <w14:textFill>
        <w14:solidFill>
          <w14:schemeClr w14:val="accent1"/>
        </w14:solidFill>
      </w14:textFill>
    </w:rPr>
  </w:style>
  <w:style w:type="character" w:customStyle="1" w:styleId="141">
    <w:name w:val="Heading 3 Char"/>
    <w:basedOn w:val="132"/>
    <w:link w:val="5"/>
    <w:qFormat/>
    <w:uiPriority w:val="9"/>
    <w:rPr>
      <w:rFonts w:asciiTheme="majorHAnsi" w:hAnsiTheme="majorHAnsi" w:eastAsiaTheme="majorEastAsia" w:cstheme="majorBidi"/>
      <w:b/>
      <w:bCs/>
      <w:color w:val="4F81BD" w:themeColor="accent1"/>
      <w14:textFill>
        <w14:solidFill>
          <w14:schemeClr w14:val="accent1"/>
        </w14:solidFill>
      </w14:textFill>
    </w:rPr>
  </w:style>
  <w:style w:type="character" w:customStyle="1" w:styleId="142">
    <w:name w:val="Title Char"/>
    <w:basedOn w:val="132"/>
    <w:link w:val="31"/>
    <w:uiPriority w:val="10"/>
    <w:rPr>
      <w:rFonts w:asciiTheme="majorHAnsi" w:hAnsiTheme="majorHAnsi" w:eastAsiaTheme="majorEastAsia" w:cstheme="majorBidi"/>
      <w:color w:val="17375E" w:themeColor="text2" w:themeShade="BF"/>
      <w:spacing w:val="5"/>
      <w:kern w:val="28"/>
      <w:sz w:val="52"/>
      <w:szCs w:val="52"/>
    </w:rPr>
  </w:style>
  <w:style w:type="character" w:customStyle="1" w:styleId="143">
    <w:name w:val="Subtitle Char"/>
    <w:basedOn w:val="132"/>
    <w:link w:val="26"/>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144">
    <w:name w:val="List Paragraph"/>
    <w:basedOn w:val="1"/>
    <w:qFormat/>
    <w:uiPriority w:val="34"/>
    <w:pPr>
      <w:ind w:left="720"/>
      <w:contextualSpacing/>
    </w:pPr>
  </w:style>
  <w:style w:type="character" w:customStyle="1" w:styleId="145">
    <w:name w:val="Body Text Char"/>
    <w:basedOn w:val="132"/>
    <w:link w:val="19"/>
    <w:uiPriority w:val="99"/>
  </w:style>
  <w:style w:type="character" w:customStyle="1" w:styleId="146">
    <w:name w:val="Body Text 2 Char"/>
    <w:basedOn w:val="132"/>
    <w:link w:val="28"/>
    <w:qFormat/>
    <w:uiPriority w:val="99"/>
  </w:style>
  <w:style w:type="character" w:customStyle="1" w:styleId="147">
    <w:name w:val="Body Text 3 Char"/>
    <w:basedOn w:val="132"/>
    <w:link w:val="17"/>
    <w:uiPriority w:val="99"/>
    <w:rPr>
      <w:sz w:val="16"/>
      <w:szCs w:val="16"/>
    </w:rPr>
  </w:style>
  <w:style w:type="character" w:customStyle="1" w:styleId="148">
    <w:name w:val="Macro Text Char"/>
    <w:basedOn w:val="132"/>
    <w:link w:val="2"/>
    <w:qFormat/>
    <w:uiPriority w:val="99"/>
    <w:rPr>
      <w:rFonts w:ascii="Courier" w:hAnsi="Courier"/>
      <w:sz w:val="20"/>
      <w:szCs w:val="20"/>
    </w:rPr>
  </w:style>
  <w:style w:type="paragraph" w:styleId="149">
    <w:name w:val="Quote"/>
    <w:basedOn w:val="1"/>
    <w:next w:val="1"/>
    <w:link w:val="150"/>
    <w:qFormat/>
    <w:uiPriority w:val="29"/>
    <w:rPr>
      <w:i/>
      <w:iCs/>
      <w:color w:val="000000" w:themeColor="text1"/>
      <w14:textFill>
        <w14:solidFill>
          <w14:schemeClr w14:val="tx1"/>
        </w14:solidFill>
      </w14:textFill>
    </w:rPr>
  </w:style>
  <w:style w:type="character" w:customStyle="1" w:styleId="150">
    <w:name w:val="Quote Char"/>
    <w:basedOn w:val="132"/>
    <w:link w:val="149"/>
    <w:qFormat/>
    <w:uiPriority w:val="29"/>
    <w:rPr>
      <w:i/>
      <w:iCs/>
      <w:color w:val="000000" w:themeColor="text1"/>
      <w14:textFill>
        <w14:solidFill>
          <w14:schemeClr w14:val="tx1"/>
        </w14:solidFill>
      </w14:textFill>
    </w:rPr>
  </w:style>
  <w:style w:type="character" w:customStyle="1" w:styleId="151">
    <w:name w:val="Heading 4 Char"/>
    <w:basedOn w:val="132"/>
    <w:link w:val="6"/>
    <w:semiHidden/>
    <w:qFormat/>
    <w:uiPriority w:val="9"/>
    <w:rPr>
      <w:rFonts w:asciiTheme="majorHAnsi" w:hAnsiTheme="majorHAnsi" w:eastAsiaTheme="majorEastAsia" w:cstheme="majorBidi"/>
      <w:b/>
      <w:bCs/>
      <w:i/>
      <w:iCs/>
      <w:color w:val="4F81BD" w:themeColor="accent1"/>
      <w14:textFill>
        <w14:solidFill>
          <w14:schemeClr w14:val="accent1"/>
        </w14:solidFill>
      </w14:textFill>
    </w:rPr>
  </w:style>
  <w:style w:type="character" w:customStyle="1" w:styleId="152">
    <w:name w:val="Heading 5 Char"/>
    <w:basedOn w:val="132"/>
    <w:link w:val="7"/>
    <w:semiHidden/>
    <w:uiPriority w:val="9"/>
    <w:rPr>
      <w:rFonts w:asciiTheme="majorHAnsi" w:hAnsiTheme="majorHAnsi" w:eastAsiaTheme="majorEastAsia" w:cstheme="majorBidi"/>
      <w:color w:val="254061" w:themeColor="accent1" w:themeShade="80"/>
    </w:rPr>
  </w:style>
  <w:style w:type="character" w:customStyle="1" w:styleId="153">
    <w:name w:val="Heading 6 Char"/>
    <w:basedOn w:val="132"/>
    <w:link w:val="8"/>
    <w:semiHidden/>
    <w:uiPriority w:val="9"/>
    <w:rPr>
      <w:rFonts w:asciiTheme="majorHAnsi" w:hAnsiTheme="majorHAnsi" w:eastAsiaTheme="majorEastAsia" w:cstheme="majorBidi"/>
      <w:i/>
      <w:iCs/>
      <w:color w:val="254061" w:themeColor="accent1" w:themeShade="80"/>
    </w:rPr>
  </w:style>
  <w:style w:type="character" w:customStyle="1" w:styleId="154">
    <w:name w:val="Heading 7 Char"/>
    <w:basedOn w:val="132"/>
    <w:link w:val="9"/>
    <w:semiHidden/>
    <w:qFormat/>
    <w:uiPriority w:val="9"/>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character" w:customStyle="1" w:styleId="155">
    <w:name w:val="Heading 8 Char"/>
    <w:basedOn w:val="132"/>
    <w:link w:val="10"/>
    <w:semiHidden/>
    <w:uiPriority w:val="9"/>
    <w:rPr>
      <w:rFonts w:asciiTheme="majorHAnsi" w:hAnsiTheme="majorHAnsi" w:eastAsiaTheme="majorEastAsia" w:cstheme="majorBidi"/>
      <w:color w:val="4F81BD" w:themeColor="accent1"/>
      <w:sz w:val="20"/>
      <w:szCs w:val="20"/>
      <w14:textFill>
        <w14:solidFill>
          <w14:schemeClr w14:val="accent1"/>
        </w14:solidFill>
      </w14:textFill>
    </w:rPr>
  </w:style>
  <w:style w:type="character" w:customStyle="1" w:styleId="156">
    <w:name w:val="Heading 9 Char"/>
    <w:basedOn w:val="132"/>
    <w:link w:val="11"/>
    <w:semiHidden/>
    <w:qFormat/>
    <w:uiPriority w:val="9"/>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paragraph" w:styleId="157">
    <w:name w:val="Intense Quote"/>
    <w:basedOn w:val="1"/>
    <w:next w:val="1"/>
    <w:link w:val="158"/>
    <w:qFormat/>
    <w:uiPriority w:val="30"/>
    <w:pPr>
      <w:pBdr>
        <w:bottom w:val="single" w:color="4F81BD" w:themeColor="accent1" w:sz="4" w:space="4"/>
      </w:pBdr>
      <w:spacing w:before="200" w:after="280"/>
      <w:ind w:left="936" w:right="936"/>
    </w:pPr>
    <w:rPr>
      <w:b/>
      <w:bCs/>
      <w:i/>
      <w:iCs/>
      <w:color w:val="4F81BD" w:themeColor="accent1"/>
      <w14:textFill>
        <w14:solidFill>
          <w14:schemeClr w14:val="accent1"/>
        </w14:solidFill>
      </w14:textFill>
    </w:rPr>
  </w:style>
  <w:style w:type="character" w:customStyle="1" w:styleId="158">
    <w:name w:val="Intense Quote Char"/>
    <w:basedOn w:val="132"/>
    <w:link w:val="157"/>
    <w:qFormat/>
    <w:uiPriority w:val="30"/>
    <w:rPr>
      <w:b/>
      <w:bCs/>
      <w:i/>
      <w:iCs/>
      <w:color w:val="4F81BD" w:themeColor="accent1"/>
      <w14:textFill>
        <w14:solidFill>
          <w14:schemeClr w14:val="accent1"/>
        </w14:solidFill>
      </w14:textFill>
    </w:rPr>
  </w:style>
  <w:style w:type="character" w:customStyle="1" w:styleId="159">
    <w:name w:val="Subtle Emphasis"/>
    <w:basedOn w:val="132"/>
    <w:qFormat/>
    <w:uiPriority w:val="19"/>
    <w:rPr>
      <w:i/>
      <w:iCs/>
      <w:color w:val="808080" w:themeColor="text1" w:themeTint="80"/>
      <w14:textFill>
        <w14:solidFill>
          <w14:schemeClr w14:val="tx1">
            <w14:lumMod w14:val="50000"/>
            <w14:lumOff w14:val="50000"/>
          </w14:schemeClr>
        </w14:solidFill>
      </w14:textFill>
    </w:rPr>
  </w:style>
  <w:style w:type="character" w:customStyle="1" w:styleId="160">
    <w:name w:val="Intense Emphasis"/>
    <w:basedOn w:val="132"/>
    <w:qFormat/>
    <w:uiPriority w:val="21"/>
    <w:rPr>
      <w:b/>
      <w:bCs/>
      <w:i/>
      <w:iCs/>
      <w:color w:val="4F81BD" w:themeColor="accent1"/>
      <w14:textFill>
        <w14:solidFill>
          <w14:schemeClr w14:val="accent1"/>
        </w14:solidFill>
      </w14:textFill>
    </w:rPr>
  </w:style>
  <w:style w:type="character" w:customStyle="1" w:styleId="161">
    <w:name w:val="Subtle Reference"/>
    <w:basedOn w:val="132"/>
    <w:qFormat/>
    <w:uiPriority w:val="31"/>
    <w:rPr>
      <w:smallCaps/>
      <w:color w:val="C0504D" w:themeColor="accent2"/>
      <w:u w:val="single"/>
      <w14:textFill>
        <w14:solidFill>
          <w14:schemeClr w14:val="accent2"/>
        </w14:solidFill>
      </w14:textFill>
    </w:rPr>
  </w:style>
  <w:style w:type="character" w:customStyle="1" w:styleId="162">
    <w:name w:val="Intense Reference"/>
    <w:basedOn w:val="132"/>
    <w:qFormat/>
    <w:uiPriority w:val="32"/>
    <w:rPr>
      <w:b/>
      <w:bCs/>
      <w:smallCaps/>
      <w:color w:val="C0504D" w:themeColor="accent2"/>
      <w:spacing w:val="5"/>
      <w:u w:val="single"/>
      <w14:textFill>
        <w14:solidFill>
          <w14:schemeClr w14:val="accent2"/>
        </w14:solidFill>
      </w14:textFill>
    </w:rPr>
  </w:style>
  <w:style w:type="character" w:customStyle="1" w:styleId="163">
    <w:name w:val="Book Title"/>
    <w:basedOn w:val="132"/>
    <w:qFormat/>
    <w:uiPriority w:val="33"/>
    <w:rPr>
      <w:b/>
      <w:bCs/>
      <w:smallCaps/>
      <w:spacing w:val="5"/>
    </w:rPr>
  </w:style>
  <w:style w:type="paragraph" w:customStyle="1" w:styleId="164">
    <w:name w:val="TOC Heading"/>
    <w:basedOn w:val="3"/>
    <w:next w:val="1"/>
    <w:semiHidden/>
    <w:unhideWhenUsed/>
    <w:qFormat/>
    <w:uiPriority w:val="39"/>
    <w:pPr>
      <w:outlineLvl w:val="9"/>
    </w:p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numbering" Target="numbering.xml"/><Relationship Id="rId7" Type="http://schemas.openxmlformats.org/officeDocument/2006/relationships/image" Target="media/image2.jpeg"/><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datastoreItem>
</file>

<file path=docProps/app.xml><?xml version="1.0" encoding="utf-8"?>
<Properties xmlns="http://schemas.openxmlformats.org/officeDocument/2006/extended-properties" xmlns:vt="http://schemas.openxmlformats.org/officeDocument/2006/docPropsVTypes">
  <Template>Normal.dotm</Template>
  <Pages>65</Pages>
  <Words>12935</Words>
  <Characters>36489</Characters>
  <Lines>0</Lines>
  <Paragraphs>0</Paragraphs>
  <TotalTime>1</TotalTime>
  <ScaleCrop>false</ScaleCrop>
  <LinksUpToDate>false</LinksUpToDate>
  <CharactersWithSpaces>41193</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2013-12-23T23:15:00Z</dcterms:created>
  <dc:creator>python-docx</dc:creator>
  <dc:description>generated by python-docx</dc:description>
  <cp:lastModifiedBy>企业用户_456770044</cp:lastModifiedBy>
  <dcterms:modified xsi:type="dcterms:W3CDTF">2026-10-13T05:18:14Z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eyJoZGlkIjoiZWZiMDI2Njg3NTg5ODg0OTIzNDIzYjg0M2FlNmM2YWEiLCJ1c2VySWQiOiIxNTUxMDczNDAxIn0=</vt:lpwstr>
  </property>
  <property fmtid="{D5CDD505-2E9C-101B-9397-08002B2CF9AE}" pid="3" name="KSOProductBuildVer">
    <vt:lpwstr>2052-12.1.0.28505</vt:lpwstr>
  </property>
  <property fmtid="{D5CDD505-2E9C-101B-9397-08002B2CF9AE}" pid="4" name="ICV">
    <vt:lpwstr>1E0B83418B194ABDA1D892032AE843E0_12</vt:lpwstr>
  </property>
</Properties>
</file>